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2507"/>
        <w:tblW w:w="4000" w:type="pct"/>
        <w:tblBorders>
          <w:left w:val="single" w:sz="18" w:space="0" w:color="5B9BD5" w:themeColor="accent1"/>
        </w:tblBorders>
        <w:tblLook w:val="04A0" w:firstRow="1" w:lastRow="0" w:firstColumn="1" w:lastColumn="0" w:noHBand="0" w:noVBand="1"/>
      </w:tblPr>
      <w:tblGrid>
        <w:gridCol w:w="10552"/>
      </w:tblGrid>
      <w:tr w:rsidR="00C64FF7" w:rsidTr="00C64FF7">
        <w:bookmarkStart w:id="0" w:name="_GoBack" w:displacedByCustomXml="next"/>
        <w:bookmarkEnd w:id="0" w:displacedByCustomXml="next"/>
        <w:sdt>
          <w:sdtPr>
            <w:rPr>
              <w:rStyle w:val="Heading1Char"/>
              <w:sz w:val="36"/>
              <w:szCs w:val="36"/>
            </w:rPr>
            <w:alias w:val="Company"/>
            <w:id w:val="13406915"/>
            <w:placeholder>
              <w:docPart w:val="9826C8849BEC4DB990AEBF6A91911C62"/>
            </w:placeholder>
            <w:dataBinding w:prefixMappings="xmlns:ns0='http://schemas.openxmlformats.org/officeDocument/2006/extended-properties'" w:xpath="/ns0:Properties[1]/ns0:Company[1]" w:storeItemID="{6668398D-A668-4E3E-A5EB-62B293D839F1}"/>
            <w:text/>
          </w:sdtPr>
          <w:sdtEndPr>
            <w:rPr>
              <w:rStyle w:val="Heading1Char"/>
            </w:rPr>
          </w:sdtEndPr>
          <w:sdtContent>
            <w:tc>
              <w:tcPr>
                <w:tcW w:w="10552" w:type="dxa"/>
                <w:tcMar>
                  <w:top w:w="216" w:type="dxa"/>
                  <w:left w:w="115" w:type="dxa"/>
                  <w:bottom w:w="216" w:type="dxa"/>
                  <w:right w:w="115" w:type="dxa"/>
                </w:tcMar>
              </w:tcPr>
              <w:p w:rsidR="00C64FF7" w:rsidRDefault="00C64FF7" w:rsidP="00C64FF7">
                <w:pPr>
                  <w:pStyle w:val="NoSpacing"/>
                  <w:rPr>
                    <w:rFonts w:asciiTheme="majorHAnsi" w:eastAsiaTheme="majorEastAsia" w:hAnsiTheme="majorHAnsi" w:cstheme="majorBidi"/>
                  </w:rPr>
                </w:pPr>
                <w:r w:rsidRPr="000C05B0">
                  <w:rPr>
                    <w:rStyle w:val="Heading1Char"/>
                    <w:sz w:val="36"/>
                    <w:szCs w:val="36"/>
                  </w:rPr>
                  <w:t>NMBI</w:t>
                </w:r>
              </w:p>
            </w:tc>
          </w:sdtContent>
        </w:sdt>
      </w:tr>
      <w:tr w:rsidR="00C64FF7" w:rsidTr="00C64FF7">
        <w:trPr>
          <w:trHeight w:val="1726"/>
        </w:trPr>
        <w:tc>
          <w:tcPr>
            <w:tcW w:w="10552" w:type="dxa"/>
          </w:tcPr>
          <w:sdt>
            <w:sdtPr>
              <w:rPr>
                <w:rStyle w:val="Heading2Char"/>
                <w:sz w:val="36"/>
                <w:szCs w:val="36"/>
              </w:rPr>
              <w:alias w:val="Title"/>
              <w:id w:val="13406919"/>
              <w:placeholder>
                <w:docPart w:val="680653A77D0D476CAE7A2FA38B0D352E"/>
              </w:placeholder>
              <w:dataBinding w:prefixMappings="xmlns:ns0='http://schemas.openxmlformats.org/package/2006/metadata/core-properties' xmlns:ns1='http://purl.org/dc/elements/1.1/'" w:xpath="/ns0:coreProperties[1]/ns1:title[1]" w:storeItemID="{6C3C8BC8-F283-45AE-878A-BAB7291924A1}"/>
              <w:text/>
            </w:sdtPr>
            <w:sdtEndPr>
              <w:rPr>
                <w:rStyle w:val="Heading2Char"/>
              </w:rPr>
            </w:sdtEndPr>
            <w:sdtContent>
              <w:p w:rsidR="00C64FF7" w:rsidRPr="000C05B0" w:rsidRDefault="00F308E0" w:rsidP="00C64FF7">
                <w:pPr>
                  <w:pStyle w:val="Heading1"/>
                  <w:rPr>
                    <w:color w:val="5B9BD5" w:themeColor="accent1"/>
                    <w:sz w:val="36"/>
                    <w:szCs w:val="36"/>
                  </w:rPr>
                </w:pPr>
                <w:r>
                  <w:rPr>
                    <w:rStyle w:val="Heading2Char"/>
                    <w:sz w:val="36"/>
                    <w:szCs w:val="36"/>
                  </w:rPr>
                  <w:t>Standards for the Approval of the Higher Education Institutions and Associated Health Care Provider Services and Educational Programmes Leading to Registration</w:t>
                </w:r>
              </w:p>
            </w:sdtContent>
          </w:sdt>
        </w:tc>
      </w:tr>
      <w:tr w:rsidR="00C64FF7" w:rsidTr="00C64FF7">
        <w:sdt>
          <w:sdtPr>
            <w:rPr>
              <w:rFonts w:eastAsia="Calibri"/>
              <w:sz w:val="36"/>
              <w:szCs w:val="36"/>
            </w:rPr>
            <w:alias w:val="Subtitle"/>
            <w:id w:val="13406923"/>
            <w:placeholder>
              <w:docPart w:val="3D26DAC67D6D443ABB0E79011C188F09"/>
            </w:placeholder>
            <w:dataBinding w:prefixMappings="xmlns:ns0='http://schemas.openxmlformats.org/package/2006/metadata/core-properties' xmlns:ns1='http://purl.org/dc/elements/1.1/'" w:xpath="/ns0:coreProperties[1]/ns1:subject[1]" w:storeItemID="{6C3C8BC8-F283-45AE-878A-BAB7291924A1}"/>
            <w:text/>
          </w:sdtPr>
          <w:sdtEndPr/>
          <w:sdtContent>
            <w:tc>
              <w:tcPr>
                <w:tcW w:w="10552" w:type="dxa"/>
                <w:tcMar>
                  <w:top w:w="216" w:type="dxa"/>
                  <w:left w:w="115" w:type="dxa"/>
                  <w:bottom w:w="216" w:type="dxa"/>
                  <w:right w:w="115" w:type="dxa"/>
                </w:tcMar>
              </w:tcPr>
              <w:p w:rsidR="00C64FF7" w:rsidRDefault="006507EF" w:rsidP="00C64FF7">
                <w:pPr>
                  <w:pStyle w:val="Heading1"/>
                </w:pPr>
                <w:r>
                  <w:rPr>
                    <w:rFonts w:eastAsia="Calibri"/>
                    <w:sz w:val="36"/>
                    <w:szCs w:val="36"/>
                  </w:rPr>
                  <w:t>Self- Assessment Audit Tool</w:t>
                </w:r>
              </w:p>
            </w:tc>
          </w:sdtContent>
        </w:sdt>
      </w:tr>
    </w:tbl>
    <w:sdt>
      <w:sdtPr>
        <w:id w:val="-377937598"/>
        <w:docPartObj>
          <w:docPartGallery w:val="Cover Pages"/>
          <w:docPartUnique/>
        </w:docPartObj>
      </w:sdtPr>
      <w:sdtEndPr/>
      <w:sdtContent>
        <w:p w:rsidR="001C30AF" w:rsidRDefault="001C30AF"/>
        <w:p w:rsidR="001C30AF" w:rsidRDefault="001C30AF"/>
        <w:tbl>
          <w:tblPr>
            <w:tblpPr w:leftFromText="187" w:rightFromText="187" w:horzAnchor="margin" w:tblpXSpec="center" w:tblpYSpec="bottom"/>
            <w:tblW w:w="4000" w:type="pct"/>
            <w:tblLook w:val="04A0" w:firstRow="1" w:lastRow="0" w:firstColumn="1" w:lastColumn="0" w:noHBand="0" w:noVBand="1"/>
          </w:tblPr>
          <w:tblGrid>
            <w:gridCol w:w="10552"/>
          </w:tblGrid>
          <w:tr w:rsidR="001C30AF" w:rsidTr="00C64FF7">
            <w:tc>
              <w:tcPr>
                <w:tcW w:w="10552" w:type="dxa"/>
                <w:tcMar>
                  <w:top w:w="216" w:type="dxa"/>
                  <w:left w:w="115" w:type="dxa"/>
                  <w:bottom w:w="216" w:type="dxa"/>
                  <w:right w:w="115" w:type="dxa"/>
                </w:tcMar>
              </w:tcPr>
              <w:sdt>
                <w:sdtPr>
                  <w:rPr>
                    <w:color w:val="5B9BD5" w:themeColor="accent1"/>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rsidR="001C30AF" w:rsidRDefault="00760228">
                    <w:pPr>
                      <w:pStyle w:val="NoSpacing"/>
                      <w:rPr>
                        <w:color w:val="5B9BD5" w:themeColor="accent1"/>
                      </w:rPr>
                    </w:pPr>
                    <w:r>
                      <w:rPr>
                        <w:color w:val="5B9BD5" w:themeColor="accent1"/>
                      </w:rPr>
                      <w:t>Revised</w:t>
                    </w:r>
                  </w:p>
                </w:sdtContent>
              </w:sdt>
              <w:sdt>
                <w:sdtPr>
                  <w:rPr>
                    <w:color w:val="5B9BD5" w:themeColor="accent1"/>
                  </w:rPr>
                  <w:alias w:val="Date"/>
                  <w:id w:val="13406932"/>
                  <w:dataBinding w:prefixMappings="xmlns:ns0='http://schemas.microsoft.com/office/2006/coverPageProps'" w:xpath="/ns0:CoverPageProperties[1]/ns0:PublishDate[1]" w:storeItemID="{55AF091B-3C7A-41E3-B477-F2FDAA23CFDA}"/>
                  <w:date w:fullDate="2017-10-10T00:00:00Z">
                    <w:dateFormat w:val="M/d/yyyy"/>
                    <w:lid w:val="en-US"/>
                    <w:storeMappedDataAs w:val="dateTime"/>
                    <w:calendar w:val="gregorian"/>
                  </w:date>
                </w:sdtPr>
                <w:sdtEndPr/>
                <w:sdtContent>
                  <w:p w:rsidR="001C30AF" w:rsidRDefault="009E3A56">
                    <w:pPr>
                      <w:pStyle w:val="NoSpacing"/>
                      <w:rPr>
                        <w:color w:val="5B9BD5" w:themeColor="accent1"/>
                      </w:rPr>
                    </w:pPr>
                    <w:r>
                      <w:rPr>
                        <w:color w:val="5B9BD5" w:themeColor="accent1"/>
                      </w:rPr>
                      <w:t>10/10/2017</w:t>
                    </w:r>
                  </w:p>
                </w:sdtContent>
              </w:sdt>
              <w:p w:rsidR="001C30AF" w:rsidRDefault="001C30AF">
                <w:pPr>
                  <w:pStyle w:val="NoSpacing"/>
                  <w:rPr>
                    <w:color w:val="5B9BD5" w:themeColor="accent1"/>
                  </w:rPr>
                </w:pPr>
              </w:p>
            </w:tc>
          </w:tr>
        </w:tbl>
        <w:p w:rsidR="001C30AF" w:rsidRDefault="001C30AF"/>
        <w:p w:rsidR="001C30AF" w:rsidRDefault="000C05B0">
          <w:r>
            <w:rPr>
              <w:noProof/>
              <w:color w:val="000000"/>
              <w:lang w:eastAsia="en-IE"/>
            </w:rPr>
            <mc:AlternateContent>
              <mc:Choice Requires="wps">
                <w:drawing>
                  <wp:anchor distT="0" distB="0" distL="457200" distR="114300" simplePos="0" relativeHeight="251659264" behindDoc="0" locked="0" layoutInCell="0" allowOverlap="1" wp14:anchorId="5BB208F6" wp14:editId="580E9C95">
                    <wp:simplePos x="0" y="0"/>
                    <wp:positionH relativeFrom="margin">
                      <wp:posOffset>3798570</wp:posOffset>
                    </wp:positionH>
                    <wp:positionV relativeFrom="margin">
                      <wp:posOffset>3631565</wp:posOffset>
                    </wp:positionV>
                    <wp:extent cx="3989705" cy="1460500"/>
                    <wp:effectExtent l="0" t="0" r="0" b="6350"/>
                    <wp:wrapSquare wrapText="bothSides"/>
                    <wp:docPr id="26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9705" cy="1460500"/>
                            </a:xfrm>
                            <a:prstGeom prst="rect">
                              <a:avLst/>
                            </a:prstGeom>
                            <a:solidFill>
                              <a:schemeClr val="bg1"/>
                            </a:solidFill>
                            <a:ln w="15875">
                              <a:noFill/>
                            </a:ln>
                            <a:extLst/>
                          </wps:spPr>
                          <wps:style>
                            <a:lnRef idx="0">
                              <a:scrgbClr r="0" g="0" b="0"/>
                            </a:lnRef>
                            <a:fillRef idx="1002">
                              <a:schemeClr val="lt2"/>
                            </a:fillRef>
                            <a:effectRef idx="0">
                              <a:scrgbClr r="0" g="0" b="0"/>
                            </a:effectRef>
                            <a:fontRef idx="major"/>
                          </wps:style>
                          <wps:txbx>
                            <w:txbxContent>
                              <w:p w:rsidR="00F308E0" w:rsidRPr="000C05B0" w:rsidRDefault="00F308E0">
                                <w:pPr>
                                  <w:pStyle w:val="Heading1"/>
                                  <w:pBdr>
                                    <w:left w:val="single" w:sz="48" w:space="13" w:color="5B9BD5" w:themeColor="accent1"/>
                                  </w:pBdr>
                                  <w:spacing w:before="0" w:after="120"/>
                                  <w:rPr>
                                    <w:b/>
                                    <w:bCs/>
                                  </w:rPr>
                                </w:pPr>
                                <w:r w:rsidRPr="000C05B0">
                                  <w:rPr>
                                    <w:bCs/>
                                  </w:rPr>
                                  <w:t>Name of</w:t>
                                </w:r>
                                <w:r>
                                  <w:rPr>
                                    <w:bCs/>
                                  </w:rPr>
                                  <w:t xml:space="preserve"> education provider:</w:t>
                                </w:r>
                                <w:r w:rsidRPr="000C05B0">
                                  <w:rPr>
                                    <w:bCs/>
                                  </w:rPr>
                                  <w:t xml:space="preserve"> </w:t>
                                </w:r>
                              </w:p>
                              <w:p w:rsidR="00F308E0" w:rsidRDefault="00F308E0">
                                <w:pPr>
                                  <w:pBdr>
                                    <w:left w:val="single" w:sz="48" w:space="13" w:color="5B9BD5" w:themeColor="accent1"/>
                                  </w:pBdr>
                                  <w:spacing w:after="0" w:line="360" w:lineRule="auto"/>
                                  <w:rPr>
                                    <w:color w:val="2E74B5" w:themeColor="accent1" w:themeShade="BF"/>
                                    <w:sz w:val="24"/>
                                    <w:szCs w:val="24"/>
                                  </w:rPr>
                                </w:pPr>
                              </w:p>
                              <w:p w:rsidR="00F308E0" w:rsidRPr="000C05B0" w:rsidRDefault="00F308E0">
                                <w:pPr>
                                  <w:pBdr>
                                    <w:left w:val="single" w:sz="48" w:space="13" w:color="5B9BD5" w:themeColor="accent1"/>
                                  </w:pBdr>
                                  <w:spacing w:after="0" w:line="360" w:lineRule="auto"/>
                                  <w:rPr>
                                    <w:color w:val="2E74B5" w:themeColor="accent1" w:themeShade="BF"/>
                                    <w:sz w:val="24"/>
                                    <w:szCs w:val="24"/>
                                  </w:rPr>
                                </w:pPr>
                                <w:r>
                                  <w:rPr>
                                    <w:color w:val="2E74B5" w:themeColor="accent1" w:themeShade="BF"/>
                                    <w:sz w:val="24"/>
                                    <w:szCs w:val="24"/>
                                  </w:rPr>
                                  <w:t>_________________________________________________</w:t>
                                </w:r>
                              </w:p>
                            </w:txbxContent>
                          </wps:txbx>
                          <wps:bodyPr rot="0" vert="horz" wrap="square" lIns="91440" tIns="91440" rIns="9144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AutoShape 14" o:spid="_x0000_s1026" style="position:absolute;margin-left:299.1pt;margin-top:285.95pt;width:314.15pt;height:115pt;z-index:251659264;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" o:allowincell="f" fillcolor="white [3212]" stroked="f" strokeweight="1.25pt">
                    <v:textbox inset=",7.2pt,,7.2pt">
                      <w:txbxContent>
                        <w:p w:rsidR="00F308E0" w:rsidRPr="000C05B0" w:rsidRDefault="00F308E0">
                          <w:pPr>
                            <w:pStyle w:val="Heading1"/>
                            <w:pBdr>
                              <w:left w:val="single" w:sz="48" w:space="13" w:color="5B9BD5" w:themeColor="accent1"/>
                            </w:pBdr>
                            <w:spacing w:before="0" w:after="120"/>
                            <w:rPr>
                              <w:b/>
                              <w:bCs/>
                            </w:rPr>
                          </w:pPr>
                          <w:r w:rsidRPr="000C05B0">
                            <w:rPr>
                              <w:bCs/>
                            </w:rPr>
                            <w:t>Name of</w:t>
                          </w:r>
                          <w:r>
                            <w:rPr>
                              <w:bCs/>
                            </w:rPr>
                            <w:t xml:space="preserve"> education provider:</w:t>
                          </w:r>
                          <w:r w:rsidRPr="000C05B0">
                            <w:rPr>
                              <w:bCs/>
                            </w:rPr>
                            <w:t xml:space="preserve"> </w:t>
                          </w:r>
                        </w:p>
                        <w:p w:rsidR="00F308E0" w:rsidRDefault="00F308E0">
                          <w:pPr>
                            <w:pBdr>
                              <w:left w:val="single" w:sz="48" w:space="13" w:color="5B9BD5" w:themeColor="accent1"/>
                            </w:pBdr>
                            <w:spacing w:after="0" w:line="360" w:lineRule="auto"/>
                            <w:rPr>
                              <w:color w:val="2E74B5" w:themeColor="accent1" w:themeShade="BF"/>
                              <w:sz w:val="24"/>
                              <w:szCs w:val="24"/>
                            </w:rPr>
                          </w:pPr>
                        </w:p>
                        <w:p w:rsidR="00F308E0" w:rsidRPr="000C05B0" w:rsidRDefault="00F308E0">
                          <w:pPr>
                            <w:pBdr>
                              <w:left w:val="single" w:sz="48" w:space="13" w:color="5B9BD5" w:themeColor="accent1"/>
                            </w:pBdr>
                            <w:spacing w:after="0" w:line="360" w:lineRule="auto"/>
                            <w:rPr>
                              <w:color w:val="2E74B5" w:themeColor="accent1" w:themeShade="BF"/>
                              <w:sz w:val="24"/>
                              <w:szCs w:val="24"/>
                            </w:rPr>
                          </w:pPr>
                          <w:r>
                            <w:rPr>
                              <w:color w:val="2E74B5" w:themeColor="accent1" w:themeShade="BF"/>
                              <w:sz w:val="24"/>
                              <w:szCs w:val="24"/>
                            </w:rPr>
                            <w:t>_________________________________________________</w:t>
                          </w:r>
                        </w:p>
                      </w:txbxContent>
                    </v:textbox>
                    <w10:wrap type="square" anchorx="margin" anchory="margin"/>
                  </v:rect>
                </w:pict>
              </mc:Fallback>
            </mc:AlternateContent>
          </w:r>
          <w:r w:rsidR="001C30AF">
            <w:br w:type="page"/>
          </w:r>
        </w:p>
      </w:sdtContent>
    </w:sdt>
    <w:p w:rsidR="009E3A56" w:rsidRPr="007D66E2" w:rsidRDefault="009E3A56" w:rsidP="009E3A56">
      <w:pPr>
        <w:pStyle w:val="Footer"/>
        <w:jc w:val="both"/>
        <w:rPr>
          <w:rStyle w:val="Heading2Char"/>
          <w:rFonts w:asciiTheme="minorHAnsi" w:hAnsiTheme="minorHAnsi"/>
          <w:color w:val="2E74B5" w:themeColor="accent1" w:themeShade="BF"/>
          <w:sz w:val="24"/>
          <w:szCs w:val="22"/>
        </w:rPr>
      </w:pPr>
      <w:r w:rsidRPr="007D66E2">
        <w:rPr>
          <w:rStyle w:val="Heading2Char"/>
          <w:rFonts w:asciiTheme="minorHAnsi" w:hAnsiTheme="minorHAnsi"/>
          <w:color w:val="2E74B5" w:themeColor="accent1" w:themeShade="BF"/>
          <w:sz w:val="24"/>
          <w:szCs w:val="22"/>
        </w:rPr>
        <w:lastRenderedPageBreak/>
        <w:t>CONTACT INFORMATION</w:t>
      </w:r>
    </w:p>
    <w:tbl>
      <w:tblPr>
        <w:tblStyle w:val="ANMAC2"/>
        <w:tblW w:w="5029" w:type="pct"/>
        <w:tblLayout w:type="fixed"/>
        <w:tblLook w:val="04A0" w:firstRow="1" w:lastRow="0" w:firstColumn="1" w:lastColumn="0" w:noHBand="0" w:noVBand="1"/>
      </w:tblPr>
      <w:tblGrid>
        <w:gridCol w:w="4299"/>
        <w:gridCol w:w="8746"/>
      </w:tblGrid>
      <w:tr w:rsidR="009E3A56" w:rsidRPr="009224FD" w:rsidTr="009E3A56">
        <w:tc>
          <w:tcPr>
            <w:cnfStyle w:val="001000000000" w:firstRow="0" w:lastRow="0" w:firstColumn="1" w:lastColumn="0" w:oddVBand="0" w:evenVBand="0" w:oddHBand="0" w:evenHBand="0" w:firstRowFirstColumn="0" w:firstRowLastColumn="0" w:lastRowFirstColumn="0" w:lastRowLastColumn="0"/>
            <w:tcW w:w="4299" w:type="dxa"/>
            <w:shd w:val="clear" w:color="auto" w:fill="BDD6EE" w:themeFill="accent1" w:themeFillTint="66"/>
          </w:tcPr>
          <w:p w:rsidR="009E3A56" w:rsidRPr="00ED7381" w:rsidRDefault="009E3A56" w:rsidP="009E3A56">
            <w:pPr>
              <w:pStyle w:val="TableSubheading"/>
              <w:keepNext w:val="0"/>
              <w:keepLines w:val="0"/>
              <w:jc w:val="left"/>
              <w:rPr>
                <w:rFonts w:asciiTheme="minorHAnsi" w:hAnsiTheme="minorHAnsi" w:cstheme="minorHAnsi"/>
                <w:sz w:val="22"/>
              </w:rPr>
            </w:pPr>
            <w:r w:rsidRPr="00ED7381">
              <w:rPr>
                <w:rFonts w:asciiTheme="minorHAnsi" w:hAnsiTheme="minorHAnsi" w:cstheme="minorHAnsi"/>
                <w:sz w:val="22"/>
              </w:rPr>
              <w:t>EDUCATION PROVIDER</w:t>
            </w:r>
          </w:p>
        </w:tc>
        <w:tc>
          <w:tcPr>
            <w:tcW w:w="8747" w:type="dxa"/>
            <w:shd w:val="clear" w:color="auto" w:fill="auto"/>
          </w:tcPr>
          <w:p w:rsidR="009E3A56" w:rsidRPr="009224FD" w:rsidRDefault="009E3A56" w:rsidP="009E3A56">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E3A56" w:rsidRPr="009224FD" w:rsidTr="009E3A56">
        <w:tc>
          <w:tcPr>
            <w:cnfStyle w:val="001000000000" w:firstRow="0" w:lastRow="0" w:firstColumn="1" w:lastColumn="0" w:oddVBand="0" w:evenVBand="0" w:oddHBand="0" w:evenHBand="0" w:firstRowFirstColumn="0" w:firstRowLastColumn="0" w:lastRowFirstColumn="0" w:lastRowLastColumn="0"/>
            <w:tcW w:w="4299" w:type="dxa"/>
            <w:shd w:val="clear" w:color="auto" w:fill="BDD6EE" w:themeFill="accent1" w:themeFillTint="66"/>
          </w:tcPr>
          <w:p w:rsidR="009E3A56" w:rsidRPr="00ED7381" w:rsidRDefault="009E3A56" w:rsidP="009E3A56">
            <w:pPr>
              <w:pStyle w:val="TableSubheading"/>
              <w:keepNext w:val="0"/>
              <w:keepLines w:val="0"/>
              <w:jc w:val="left"/>
              <w:rPr>
                <w:rFonts w:asciiTheme="minorHAnsi" w:hAnsiTheme="minorHAnsi" w:cstheme="minorHAnsi"/>
                <w:sz w:val="22"/>
              </w:rPr>
            </w:pPr>
            <w:r w:rsidRPr="00ED7381">
              <w:rPr>
                <w:rFonts w:asciiTheme="minorHAnsi" w:hAnsiTheme="minorHAnsi" w:cstheme="minorHAnsi"/>
                <w:sz w:val="22"/>
              </w:rPr>
              <w:t xml:space="preserve">ADDRESS </w:t>
            </w:r>
          </w:p>
        </w:tc>
        <w:tc>
          <w:tcPr>
            <w:tcW w:w="8747" w:type="dxa"/>
            <w:shd w:val="clear" w:color="auto" w:fill="auto"/>
          </w:tcPr>
          <w:p w:rsidR="009E3A56" w:rsidRPr="009224FD" w:rsidRDefault="009E3A56" w:rsidP="009E3A56">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E3A56" w:rsidRPr="009224FD" w:rsidTr="009E3A56">
        <w:tc>
          <w:tcPr>
            <w:cnfStyle w:val="001000000000" w:firstRow="0" w:lastRow="0" w:firstColumn="1" w:lastColumn="0" w:oddVBand="0" w:evenVBand="0" w:oddHBand="0" w:evenHBand="0" w:firstRowFirstColumn="0" w:firstRowLastColumn="0" w:lastRowFirstColumn="0" w:lastRowLastColumn="0"/>
            <w:tcW w:w="4299" w:type="dxa"/>
            <w:shd w:val="clear" w:color="auto" w:fill="BDD6EE" w:themeFill="accent1" w:themeFillTint="66"/>
          </w:tcPr>
          <w:p w:rsidR="009E3A56" w:rsidRPr="00ED7381" w:rsidRDefault="009E3A56" w:rsidP="009E3A56">
            <w:pPr>
              <w:pStyle w:val="TableSubheading"/>
              <w:keepNext w:val="0"/>
              <w:keepLines w:val="0"/>
              <w:jc w:val="left"/>
              <w:rPr>
                <w:rFonts w:asciiTheme="minorHAnsi" w:hAnsiTheme="minorHAnsi" w:cstheme="minorHAnsi"/>
                <w:sz w:val="22"/>
              </w:rPr>
            </w:pPr>
            <w:r w:rsidRPr="00ED7381">
              <w:rPr>
                <w:rFonts w:asciiTheme="minorHAnsi" w:hAnsiTheme="minorHAnsi" w:cstheme="minorHAnsi"/>
                <w:sz w:val="22"/>
              </w:rPr>
              <w:t xml:space="preserve">HEAD OF DEPARTMENT </w:t>
            </w:r>
          </w:p>
        </w:tc>
        <w:tc>
          <w:tcPr>
            <w:tcW w:w="8747" w:type="dxa"/>
            <w:shd w:val="clear" w:color="auto" w:fill="auto"/>
          </w:tcPr>
          <w:p w:rsidR="009E3A56" w:rsidRPr="009224FD" w:rsidRDefault="009E3A56" w:rsidP="009E3A56">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E3A56" w:rsidRPr="009224FD" w:rsidTr="009E3A56">
        <w:tc>
          <w:tcPr>
            <w:cnfStyle w:val="001000000000" w:firstRow="0" w:lastRow="0" w:firstColumn="1" w:lastColumn="0" w:oddVBand="0" w:evenVBand="0" w:oddHBand="0" w:evenHBand="0" w:firstRowFirstColumn="0" w:firstRowLastColumn="0" w:lastRowFirstColumn="0" w:lastRowLastColumn="0"/>
            <w:tcW w:w="4299" w:type="dxa"/>
            <w:shd w:val="clear" w:color="auto" w:fill="BDD6EE" w:themeFill="accent1" w:themeFillTint="66"/>
          </w:tcPr>
          <w:p w:rsidR="009E3A56" w:rsidRPr="00ED7381" w:rsidRDefault="009E3A56" w:rsidP="009E3A56">
            <w:pPr>
              <w:pStyle w:val="TableSubheading"/>
              <w:keepNext w:val="0"/>
              <w:keepLines w:val="0"/>
              <w:jc w:val="left"/>
              <w:rPr>
                <w:rFonts w:asciiTheme="minorHAnsi" w:hAnsiTheme="minorHAnsi" w:cstheme="minorHAnsi"/>
                <w:sz w:val="22"/>
              </w:rPr>
            </w:pPr>
            <w:r w:rsidRPr="00ED7381">
              <w:rPr>
                <w:rFonts w:asciiTheme="minorHAnsi" w:hAnsiTheme="minorHAnsi" w:cstheme="minorHAnsi"/>
                <w:sz w:val="22"/>
              </w:rPr>
              <w:t>PHONE NUMBER</w:t>
            </w:r>
          </w:p>
        </w:tc>
        <w:tc>
          <w:tcPr>
            <w:tcW w:w="8747" w:type="dxa"/>
            <w:shd w:val="clear" w:color="auto" w:fill="auto"/>
          </w:tcPr>
          <w:p w:rsidR="009E3A56" w:rsidRPr="009224FD" w:rsidRDefault="009E3A56" w:rsidP="009E3A56">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E3A56" w:rsidRPr="009224FD" w:rsidTr="009E3A56">
        <w:tc>
          <w:tcPr>
            <w:cnfStyle w:val="001000000000" w:firstRow="0" w:lastRow="0" w:firstColumn="1" w:lastColumn="0" w:oddVBand="0" w:evenVBand="0" w:oddHBand="0" w:evenHBand="0" w:firstRowFirstColumn="0" w:firstRowLastColumn="0" w:lastRowFirstColumn="0" w:lastRowLastColumn="0"/>
            <w:tcW w:w="4299" w:type="dxa"/>
            <w:shd w:val="clear" w:color="auto" w:fill="BDD6EE" w:themeFill="accent1" w:themeFillTint="66"/>
          </w:tcPr>
          <w:p w:rsidR="009E3A56" w:rsidRPr="00ED7381" w:rsidRDefault="009E3A56" w:rsidP="009E3A56">
            <w:pPr>
              <w:pStyle w:val="TableSubheading"/>
              <w:keepNext w:val="0"/>
              <w:keepLines w:val="0"/>
              <w:jc w:val="left"/>
              <w:rPr>
                <w:rFonts w:asciiTheme="minorHAnsi" w:hAnsiTheme="minorHAnsi" w:cstheme="minorHAnsi"/>
                <w:sz w:val="22"/>
              </w:rPr>
            </w:pPr>
            <w:r w:rsidRPr="00ED7381">
              <w:rPr>
                <w:rFonts w:asciiTheme="minorHAnsi" w:hAnsiTheme="minorHAnsi" w:cstheme="minorHAnsi"/>
                <w:sz w:val="22"/>
              </w:rPr>
              <w:t xml:space="preserve">EMAIL </w:t>
            </w:r>
          </w:p>
        </w:tc>
        <w:tc>
          <w:tcPr>
            <w:tcW w:w="8747" w:type="dxa"/>
            <w:shd w:val="clear" w:color="auto" w:fill="auto"/>
          </w:tcPr>
          <w:p w:rsidR="009E3A56" w:rsidRPr="009224FD" w:rsidRDefault="009E3A56" w:rsidP="009E3A56">
            <w:pPr>
              <w:pStyle w:val="TableTex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E3A56" w:rsidRPr="009224FD" w:rsidTr="009E3A56">
        <w:tc>
          <w:tcPr>
            <w:cnfStyle w:val="001000000000" w:firstRow="0" w:lastRow="0" w:firstColumn="1" w:lastColumn="0" w:oddVBand="0" w:evenVBand="0" w:oddHBand="0" w:evenHBand="0" w:firstRowFirstColumn="0" w:firstRowLastColumn="0" w:lastRowFirstColumn="0" w:lastRowLastColumn="0"/>
            <w:tcW w:w="4299" w:type="dxa"/>
            <w:shd w:val="clear" w:color="auto" w:fill="BDD6EE" w:themeFill="accent1" w:themeFillTint="66"/>
          </w:tcPr>
          <w:p w:rsidR="009E3A56" w:rsidRPr="00ED7381" w:rsidRDefault="009E3A56" w:rsidP="009E3A56">
            <w:pPr>
              <w:pStyle w:val="TableSubheading"/>
              <w:keepNext w:val="0"/>
              <w:keepLines w:val="0"/>
              <w:jc w:val="left"/>
              <w:rPr>
                <w:rFonts w:asciiTheme="minorHAnsi" w:hAnsiTheme="minorHAnsi" w:cstheme="minorHAnsi"/>
                <w:sz w:val="22"/>
              </w:rPr>
            </w:pPr>
            <w:r w:rsidRPr="00ED7381">
              <w:rPr>
                <w:rFonts w:asciiTheme="minorHAnsi" w:hAnsiTheme="minorHAnsi" w:cstheme="minorHAnsi"/>
                <w:sz w:val="22"/>
              </w:rPr>
              <w:t xml:space="preserve">PROGRAMME CONTACT PERSON </w:t>
            </w:r>
          </w:p>
        </w:tc>
        <w:tc>
          <w:tcPr>
            <w:tcW w:w="8747" w:type="dxa"/>
            <w:shd w:val="clear" w:color="auto" w:fill="auto"/>
          </w:tcPr>
          <w:p w:rsidR="009E3A56" w:rsidRPr="009224FD" w:rsidRDefault="009E3A56" w:rsidP="009E3A56">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E3A56" w:rsidRPr="009224FD" w:rsidTr="009E3A56">
        <w:tc>
          <w:tcPr>
            <w:cnfStyle w:val="001000000000" w:firstRow="0" w:lastRow="0" w:firstColumn="1" w:lastColumn="0" w:oddVBand="0" w:evenVBand="0" w:oddHBand="0" w:evenHBand="0" w:firstRowFirstColumn="0" w:firstRowLastColumn="0" w:lastRowFirstColumn="0" w:lastRowLastColumn="0"/>
            <w:tcW w:w="4299" w:type="dxa"/>
            <w:shd w:val="clear" w:color="auto" w:fill="BDD6EE" w:themeFill="accent1" w:themeFillTint="66"/>
          </w:tcPr>
          <w:p w:rsidR="009E3A56" w:rsidRPr="00ED7381" w:rsidRDefault="009E3A56" w:rsidP="009E3A56">
            <w:pPr>
              <w:pStyle w:val="TableSubheading"/>
              <w:keepNext w:val="0"/>
              <w:keepLines w:val="0"/>
              <w:jc w:val="left"/>
              <w:rPr>
                <w:rFonts w:asciiTheme="minorHAnsi" w:hAnsiTheme="minorHAnsi" w:cstheme="minorHAnsi"/>
                <w:sz w:val="22"/>
              </w:rPr>
            </w:pPr>
            <w:r w:rsidRPr="00ED7381">
              <w:rPr>
                <w:rFonts w:asciiTheme="minorHAnsi" w:hAnsiTheme="minorHAnsi" w:cstheme="minorHAnsi"/>
                <w:sz w:val="22"/>
              </w:rPr>
              <w:t>PROGRAMME LEADER</w:t>
            </w:r>
          </w:p>
        </w:tc>
        <w:tc>
          <w:tcPr>
            <w:tcW w:w="8747" w:type="dxa"/>
            <w:shd w:val="clear" w:color="auto" w:fill="auto"/>
          </w:tcPr>
          <w:p w:rsidR="009E3A56" w:rsidRPr="009224FD" w:rsidRDefault="009E3A56" w:rsidP="009E3A56">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rsidR="009E3A56" w:rsidRPr="00ED7381" w:rsidRDefault="009E3A56" w:rsidP="009E3A56">
      <w:pPr>
        <w:pStyle w:val="Footer"/>
        <w:jc w:val="both"/>
        <w:rPr>
          <w:rStyle w:val="Heading2Char"/>
          <w:rFonts w:asciiTheme="minorHAnsi" w:hAnsiTheme="minorHAnsi"/>
          <w:sz w:val="24"/>
          <w:szCs w:val="22"/>
        </w:rPr>
      </w:pPr>
    </w:p>
    <w:p w:rsidR="009E3A56" w:rsidRPr="007D66E2" w:rsidRDefault="009E3A56" w:rsidP="009E3A56">
      <w:pPr>
        <w:pStyle w:val="Footer"/>
        <w:jc w:val="both"/>
        <w:rPr>
          <w:rStyle w:val="Heading2Char"/>
          <w:rFonts w:asciiTheme="minorHAnsi" w:hAnsiTheme="minorHAnsi"/>
          <w:color w:val="2E74B5" w:themeColor="accent1" w:themeShade="BF"/>
          <w:sz w:val="24"/>
          <w:szCs w:val="22"/>
        </w:rPr>
      </w:pPr>
      <w:r w:rsidRPr="007D66E2">
        <w:rPr>
          <w:rStyle w:val="Heading2Char"/>
          <w:rFonts w:asciiTheme="minorHAnsi" w:hAnsiTheme="minorHAnsi"/>
          <w:color w:val="2E74B5" w:themeColor="accent1" w:themeShade="BF"/>
          <w:sz w:val="24"/>
          <w:szCs w:val="22"/>
        </w:rPr>
        <w:t>PROGRAMME INFORMATION</w:t>
      </w:r>
    </w:p>
    <w:tbl>
      <w:tblPr>
        <w:tblStyle w:val="ANMAC2"/>
        <w:tblW w:w="5029" w:type="pct"/>
        <w:tblLayout w:type="fixed"/>
        <w:tblLook w:val="04A0" w:firstRow="1" w:lastRow="0" w:firstColumn="1" w:lastColumn="0" w:noHBand="0" w:noVBand="1"/>
      </w:tblPr>
      <w:tblGrid>
        <w:gridCol w:w="4374"/>
        <w:gridCol w:w="8671"/>
      </w:tblGrid>
      <w:tr w:rsidR="009E3A56" w:rsidRPr="009224FD" w:rsidTr="00344AFF">
        <w:tc>
          <w:tcPr>
            <w:cnfStyle w:val="001000000000" w:firstRow="0" w:lastRow="0" w:firstColumn="1" w:lastColumn="0" w:oddVBand="0" w:evenVBand="0" w:oddHBand="0" w:evenHBand="0" w:firstRowFirstColumn="0" w:firstRowLastColumn="0" w:lastRowFirstColumn="0" w:lastRowLastColumn="0"/>
            <w:tcW w:w="4374" w:type="dxa"/>
            <w:shd w:val="clear" w:color="auto" w:fill="BDD6EE" w:themeFill="accent1" w:themeFillTint="66"/>
          </w:tcPr>
          <w:p w:rsidR="009E3A56" w:rsidRPr="00ED7381" w:rsidRDefault="009E3A56" w:rsidP="009E3A56">
            <w:pPr>
              <w:pStyle w:val="TableSubheading"/>
              <w:keepNext w:val="0"/>
              <w:keepLines w:val="0"/>
              <w:jc w:val="left"/>
              <w:rPr>
                <w:rFonts w:asciiTheme="minorHAnsi" w:hAnsiTheme="minorHAnsi" w:cstheme="minorHAnsi"/>
                <w:sz w:val="22"/>
              </w:rPr>
            </w:pPr>
            <w:r w:rsidRPr="00ED7381">
              <w:rPr>
                <w:rFonts w:asciiTheme="minorHAnsi" w:hAnsiTheme="minorHAnsi" w:cstheme="minorHAnsi"/>
                <w:sz w:val="22"/>
              </w:rPr>
              <w:t>PROGRAMME TITLE</w:t>
            </w:r>
          </w:p>
        </w:tc>
        <w:tc>
          <w:tcPr>
            <w:tcW w:w="8671" w:type="dxa"/>
            <w:shd w:val="clear" w:color="auto" w:fill="auto"/>
          </w:tcPr>
          <w:p w:rsidR="009E3A56" w:rsidRPr="009224FD" w:rsidRDefault="009E3A56" w:rsidP="009E3A56">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9E3A56" w:rsidRPr="009224FD" w:rsidTr="00344AFF">
        <w:tc>
          <w:tcPr>
            <w:cnfStyle w:val="001000000000" w:firstRow="0" w:lastRow="0" w:firstColumn="1" w:lastColumn="0" w:oddVBand="0" w:evenVBand="0" w:oddHBand="0" w:evenHBand="0" w:firstRowFirstColumn="0" w:firstRowLastColumn="0" w:lastRowFirstColumn="0" w:lastRowLastColumn="0"/>
            <w:tcW w:w="4374" w:type="dxa"/>
            <w:shd w:val="clear" w:color="auto" w:fill="BDD6EE" w:themeFill="accent1" w:themeFillTint="66"/>
          </w:tcPr>
          <w:p w:rsidR="009E3A56" w:rsidRPr="00ED7381" w:rsidRDefault="009E3A56" w:rsidP="009E3A56">
            <w:pPr>
              <w:pStyle w:val="TableSubheading"/>
              <w:keepNext w:val="0"/>
              <w:keepLines w:val="0"/>
              <w:jc w:val="left"/>
              <w:rPr>
                <w:rFonts w:asciiTheme="minorHAnsi" w:hAnsiTheme="minorHAnsi" w:cstheme="minorHAnsi"/>
                <w:sz w:val="22"/>
              </w:rPr>
            </w:pPr>
            <w:r w:rsidRPr="00ED7381">
              <w:rPr>
                <w:rFonts w:asciiTheme="minorHAnsi" w:hAnsiTheme="minorHAnsi" w:cstheme="minorHAnsi"/>
                <w:sz w:val="22"/>
              </w:rPr>
              <w:t>Level as per NFQ</w:t>
            </w:r>
          </w:p>
        </w:tc>
        <w:tc>
          <w:tcPr>
            <w:tcW w:w="8671" w:type="dxa"/>
            <w:shd w:val="clear" w:color="auto" w:fill="auto"/>
          </w:tcPr>
          <w:p w:rsidR="009E3A56" w:rsidRPr="009224FD" w:rsidRDefault="009E3A56" w:rsidP="009E3A56">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9E3A56" w:rsidRPr="009224FD" w:rsidTr="00344AFF">
        <w:tc>
          <w:tcPr>
            <w:cnfStyle w:val="001000000000" w:firstRow="0" w:lastRow="0" w:firstColumn="1" w:lastColumn="0" w:oddVBand="0" w:evenVBand="0" w:oddHBand="0" w:evenHBand="0" w:firstRowFirstColumn="0" w:firstRowLastColumn="0" w:lastRowFirstColumn="0" w:lastRowLastColumn="0"/>
            <w:tcW w:w="4374" w:type="dxa"/>
            <w:shd w:val="clear" w:color="auto" w:fill="BDD6EE" w:themeFill="accent1" w:themeFillTint="66"/>
          </w:tcPr>
          <w:p w:rsidR="009E3A56" w:rsidRPr="00ED7381" w:rsidRDefault="009E3A56" w:rsidP="009E3A56">
            <w:pPr>
              <w:pStyle w:val="TableSubheading"/>
              <w:keepNext w:val="0"/>
              <w:keepLines w:val="0"/>
              <w:jc w:val="left"/>
              <w:rPr>
                <w:rFonts w:asciiTheme="minorHAnsi" w:hAnsiTheme="minorHAnsi" w:cstheme="minorHAnsi"/>
                <w:sz w:val="22"/>
              </w:rPr>
            </w:pPr>
            <w:r w:rsidRPr="00ED7381">
              <w:rPr>
                <w:rFonts w:asciiTheme="minorHAnsi" w:hAnsiTheme="minorHAnsi" w:cstheme="minorHAnsi"/>
                <w:sz w:val="22"/>
              </w:rPr>
              <w:t>Award Type</w:t>
            </w:r>
          </w:p>
        </w:tc>
        <w:tc>
          <w:tcPr>
            <w:tcW w:w="8671" w:type="dxa"/>
            <w:shd w:val="clear" w:color="auto" w:fill="auto"/>
          </w:tcPr>
          <w:p w:rsidR="009E3A56" w:rsidRPr="009224FD" w:rsidRDefault="009E3A56" w:rsidP="009E3A56">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9E3A56" w:rsidRPr="009224FD" w:rsidTr="00344AFF">
        <w:tc>
          <w:tcPr>
            <w:cnfStyle w:val="001000000000" w:firstRow="0" w:lastRow="0" w:firstColumn="1" w:lastColumn="0" w:oddVBand="0" w:evenVBand="0" w:oddHBand="0" w:evenHBand="0" w:firstRowFirstColumn="0" w:firstRowLastColumn="0" w:lastRowFirstColumn="0" w:lastRowLastColumn="0"/>
            <w:tcW w:w="4374" w:type="dxa"/>
            <w:shd w:val="clear" w:color="auto" w:fill="BDD6EE" w:themeFill="accent1" w:themeFillTint="66"/>
          </w:tcPr>
          <w:p w:rsidR="009E3A56" w:rsidRPr="00ED7381" w:rsidRDefault="009E3A56" w:rsidP="009E3A56">
            <w:pPr>
              <w:pStyle w:val="TableSubheading"/>
              <w:keepNext w:val="0"/>
              <w:keepLines w:val="0"/>
              <w:jc w:val="left"/>
              <w:rPr>
                <w:rFonts w:asciiTheme="minorHAnsi" w:hAnsiTheme="minorHAnsi" w:cstheme="minorHAnsi"/>
                <w:sz w:val="22"/>
              </w:rPr>
            </w:pPr>
            <w:r w:rsidRPr="00ED7381">
              <w:rPr>
                <w:rFonts w:asciiTheme="minorHAnsi" w:hAnsiTheme="minorHAnsi" w:cstheme="minorHAnsi"/>
                <w:sz w:val="22"/>
              </w:rPr>
              <w:t>ECTS  and Effort Hours</w:t>
            </w:r>
          </w:p>
        </w:tc>
        <w:tc>
          <w:tcPr>
            <w:tcW w:w="8671" w:type="dxa"/>
            <w:shd w:val="clear" w:color="auto" w:fill="auto"/>
          </w:tcPr>
          <w:p w:rsidR="009E3A56" w:rsidRPr="009224FD" w:rsidRDefault="009E3A56" w:rsidP="009E3A56">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9E3A56" w:rsidRPr="009224FD" w:rsidTr="00344AFF">
        <w:tc>
          <w:tcPr>
            <w:cnfStyle w:val="001000000000" w:firstRow="0" w:lastRow="0" w:firstColumn="1" w:lastColumn="0" w:oddVBand="0" w:evenVBand="0" w:oddHBand="0" w:evenHBand="0" w:firstRowFirstColumn="0" w:firstRowLastColumn="0" w:lastRowFirstColumn="0" w:lastRowLastColumn="0"/>
            <w:tcW w:w="4374" w:type="dxa"/>
            <w:shd w:val="clear" w:color="auto" w:fill="BDD6EE" w:themeFill="accent1" w:themeFillTint="66"/>
          </w:tcPr>
          <w:p w:rsidR="009E3A56" w:rsidRPr="00ED7381" w:rsidRDefault="009E3A56" w:rsidP="009E3A56">
            <w:pPr>
              <w:pStyle w:val="TableSubheading"/>
              <w:keepNext w:val="0"/>
              <w:keepLines w:val="0"/>
              <w:jc w:val="left"/>
              <w:rPr>
                <w:rFonts w:asciiTheme="minorHAnsi" w:hAnsiTheme="minorHAnsi" w:cstheme="minorHAnsi"/>
                <w:sz w:val="22"/>
              </w:rPr>
            </w:pPr>
            <w:r w:rsidRPr="00ED7381">
              <w:rPr>
                <w:rFonts w:asciiTheme="minorHAnsi" w:hAnsiTheme="minorHAnsi" w:cstheme="minorHAnsi"/>
                <w:sz w:val="22"/>
              </w:rPr>
              <w:t>New Course Submission (Yes/No)</w:t>
            </w:r>
          </w:p>
        </w:tc>
        <w:tc>
          <w:tcPr>
            <w:tcW w:w="8671" w:type="dxa"/>
            <w:shd w:val="clear" w:color="auto" w:fill="auto"/>
          </w:tcPr>
          <w:p w:rsidR="009E3A56" w:rsidRPr="009224FD" w:rsidRDefault="009E3A56" w:rsidP="009E3A56">
            <w:pPr>
              <w:pStyle w:val="TableText"/>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9E3A56" w:rsidRPr="009224FD" w:rsidTr="00344AFF">
        <w:tc>
          <w:tcPr>
            <w:cnfStyle w:val="001000000000" w:firstRow="0" w:lastRow="0" w:firstColumn="1" w:lastColumn="0" w:oddVBand="0" w:evenVBand="0" w:oddHBand="0" w:evenHBand="0" w:firstRowFirstColumn="0" w:firstRowLastColumn="0" w:lastRowFirstColumn="0" w:lastRowLastColumn="0"/>
            <w:tcW w:w="4374" w:type="dxa"/>
            <w:shd w:val="clear" w:color="auto" w:fill="BDD6EE" w:themeFill="accent1" w:themeFillTint="66"/>
          </w:tcPr>
          <w:p w:rsidR="009E3A56" w:rsidRPr="00ED7381" w:rsidRDefault="009E3A56" w:rsidP="009E3A56">
            <w:pPr>
              <w:pStyle w:val="TableSubheading"/>
              <w:keepNext w:val="0"/>
              <w:keepLines w:val="0"/>
              <w:jc w:val="left"/>
              <w:rPr>
                <w:rFonts w:asciiTheme="minorHAnsi" w:hAnsiTheme="minorHAnsi" w:cstheme="minorHAnsi"/>
                <w:sz w:val="22"/>
              </w:rPr>
            </w:pPr>
            <w:r w:rsidRPr="00ED7381">
              <w:rPr>
                <w:rFonts w:asciiTheme="minorHAnsi" w:hAnsiTheme="minorHAnsi" w:cstheme="minorHAnsi"/>
                <w:sz w:val="22"/>
              </w:rPr>
              <w:t>Re – Approval Submission (Yes/No)</w:t>
            </w:r>
          </w:p>
        </w:tc>
        <w:tc>
          <w:tcPr>
            <w:tcW w:w="8671" w:type="dxa"/>
            <w:shd w:val="clear" w:color="auto" w:fill="auto"/>
          </w:tcPr>
          <w:p w:rsidR="009E3A56" w:rsidRPr="009224FD" w:rsidRDefault="009E3A56" w:rsidP="009E3A56">
            <w:pPr>
              <w:pStyle w:val="TableText"/>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9E3A56" w:rsidRPr="009224FD" w:rsidTr="00344AFF">
        <w:tc>
          <w:tcPr>
            <w:cnfStyle w:val="001000000000" w:firstRow="0" w:lastRow="0" w:firstColumn="1" w:lastColumn="0" w:oddVBand="0" w:evenVBand="0" w:oddHBand="0" w:evenHBand="0" w:firstRowFirstColumn="0" w:firstRowLastColumn="0" w:lastRowFirstColumn="0" w:lastRowLastColumn="0"/>
            <w:tcW w:w="4374" w:type="dxa"/>
            <w:shd w:val="clear" w:color="auto" w:fill="BDD6EE" w:themeFill="accent1" w:themeFillTint="66"/>
          </w:tcPr>
          <w:p w:rsidR="009E3A56" w:rsidRPr="00ED7381" w:rsidRDefault="009E3A56" w:rsidP="009E3A56">
            <w:pPr>
              <w:pStyle w:val="TableSubheading"/>
              <w:keepNext w:val="0"/>
              <w:keepLines w:val="0"/>
              <w:jc w:val="left"/>
              <w:rPr>
                <w:rFonts w:asciiTheme="minorHAnsi" w:hAnsiTheme="minorHAnsi" w:cstheme="minorHAnsi"/>
                <w:sz w:val="22"/>
              </w:rPr>
            </w:pPr>
            <w:r w:rsidRPr="00ED7381">
              <w:rPr>
                <w:rFonts w:asciiTheme="minorHAnsi" w:hAnsiTheme="minorHAnsi" w:cstheme="minorHAnsi"/>
                <w:sz w:val="22"/>
              </w:rPr>
              <w:t xml:space="preserve">If re-submission please list changes </w:t>
            </w:r>
          </w:p>
        </w:tc>
        <w:tc>
          <w:tcPr>
            <w:tcW w:w="8671" w:type="dxa"/>
            <w:shd w:val="clear" w:color="auto" w:fill="auto"/>
          </w:tcPr>
          <w:p w:rsidR="009E3A56" w:rsidRPr="009224FD" w:rsidRDefault="009E3A56" w:rsidP="009E3A56">
            <w:pPr>
              <w:pStyle w:val="TableText"/>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9E3A56" w:rsidRPr="009224FD" w:rsidTr="00344AFF">
        <w:tc>
          <w:tcPr>
            <w:cnfStyle w:val="001000000000" w:firstRow="0" w:lastRow="0" w:firstColumn="1" w:lastColumn="0" w:oddVBand="0" w:evenVBand="0" w:oddHBand="0" w:evenHBand="0" w:firstRowFirstColumn="0" w:firstRowLastColumn="0" w:lastRowFirstColumn="0" w:lastRowLastColumn="0"/>
            <w:tcW w:w="4374" w:type="dxa"/>
            <w:shd w:val="clear" w:color="auto" w:fill="BDD6EE" w:themeFill="accent1" w:themeFillTint="66"/>
          </w:tcPr>
          <w:p w:rsidR="009E3A56" w:rsidRPr="00ED7381" w:rsidRDefault="009E3A56" w:rsidP="009E3A56">
            <w:pPr>
              <w:pStyle w:val="TableSubheading"/>
              <w:keepNext w:val="0"/>
              <w:keepLines w:val="0"/>
              <w:jc w:val="left"/>
              <w:rPr>
                <w:rFonts w:asciiTheme="minorHAnsi" w:hAnsiTheme="minorHAnsi" w:cstheme="minorHAnsi"/>
                <w:sz w:val="22"/>
              </w:rPr>
            </w:pPr>
            <w:r w:rsidRPr="00ED7381">
              <w:rPr>
                <w:rFonts w:asciiTheme="minorHAnsi" w:hAnsiTheme="minorHAnsi" w:cstheme="minorHAnsi"/>
                <w:sz w:val="22"/>
              </w:rPr>
              <w:t>Course Approved by HEI Academic Council?</w:t>
            </w:r>
          </w:p>
        </w:tc>
        <w:tc>
          <w:tcPr>
            <w:tcW w:w="8671" w:type="dxa"/>
            <w:shd w:val="clear" w:color="auto" w:fill="auto"/>
          </w:tcPr>
          <w:p w:rsidR="009E3A56" w:rsidRPr="009224FD" w:rsidRDefault="009E3A56" w:rsidP="009E3A56">
            <w:pPr>
              <w:pStyle w:val="TableText"/>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9E3A56" w:rsidRPr="009224FD" w:rsidTr="00344AFF">
        <w:tc>
          <w:tcPr>
            <w:cnfStyle w:val="001000000000" w:firstRow="0" w:lastRow="0" w:firstColumn="1" w:lastColumn="0" w:oddVBand="0" w:evenVBand="0" w:oddHBand="0" w:evenHBand="0" w:firstRowFirstColumn="0" w:firstRowLastColumn="0" w:lastRowFirstColumn="0" w:lastRowLastColumn="0"/>
            <w:tcW w:w="4374" w:type="dxa"/>
            <w:shd w:val="clear" w:color="auto" w:fill="BDD6EE" w:themeFill="accent1" w:themeFillTint="66"/>
          </w:tcPr>
          <w:p w:rsidR="009E3A56" w:rsidRPr="00ED7381" w:rsidRDefault="009E3A56" w:rsidP="009E3A56">
            <w:pPr>
              <w:pStyle w:val="TableSubheading"/>
              <w:keepNext w:val="0"/>
              <w:keepLines w:val="0"/>
              <w:jc w:val="left"/>
              <w:rPr>
                <w:rFonts w:asciiTheme="minorHAnsi" w:hAnsiTheme="minorHAnsi" w:cstheme="minorHAnsi"/>
                <w:sz w:val="22"/>
              </w:rPr>
            </w:pPr>
            <w:r w:rsidRPr="00ED7381">
              <w:rPr>
                <w:rFonts w:asciiTheme="minorHAnsi" w:hAnsiTheme="minorHAnsi" w:cstheme="minorHAnsi"/>
                <w:sz w:val="22"/>
              </w:rPr>
              <w:t>PROGRAMME LENGTH</w:t>
            </w:r>
          </w:p>
          <w:p w:rsidR="009E3A56" w:rsidRPr="007D66E2" w:rsidRDefault="009E3A56" w:rsidP="009E3A56">
            <w:pPr>
              <w:pStyle w:val="TableText"/>
              <w:rPr>
                <w:rFonts w:asciiTheme="minorHAnsi" w:hAnsiTheme="minorHAnsi" w:cstheme="minorHAnsi"/>
                <w:sz w:val="22"/>
              </w:rPr>
            </w:pPr>
            <w:r w:rsidRPr="007D66E2">
              <w:rPr>
                <w:rFonts w:asciiTheme="minorHAnsi" w:hAnsiTheme="minorHAnsi" w:cstheme="minorHAnsi"/>
                <w:sz w:val="22"/>
              </w:rPr>
              <w:t xml:space="preserve">Part Time, Full Time </w:t>
            </w:r>
          </w:p>
        </w:tc>
        <w:tc>
          <w:tcPr>
            <w:tcW w:w="8671" w:type="dxa"/>
            <w:shd w:val="clear" w:color="auto" w:fill="auto"/>
          </w:tcPr>
          <w:p w:rsidR="009E3A56" w:rsidRPr="009224FD" w:rsidRDefault="009E3A56" w:rsidP="009E3A56">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9E3A56" w:rsidRPr="009224FD" w:rsidTr="00344AFF">
        <w:tc>
          <w:tcPr>
            <w:cnfStyle w:val="001000000000" w:firstRow="0" w:lastRow="0" w:firstColumn="1" w:lastColumn="0" w:oddVBand="0" w:evenVBand="0" w:oddHBand="0" w:evenHBand="0" w:firstRowFirstColumn="0" w:firstRowLastColumn="0" w:lastRowFirstColumn="0" w:lastRowLastColumn="0"/>
            <w:tcW w:w="4374" w:type="dxa"/>
            <w:shd w:val="clear" w:color="auto" w:fill="BDD6EE" w:themeFill="accent1" w:themeFillTint="66"/>
          </w:tcPr>
          <w:p w:rsidR="009E3A56" w:rsidRPr="00ED7381" w:rsidRDefault="009E3A56" w:rsidP="009E3A56">
            <w:pPr>
              <w:pStyle w:val="TableSubheading"/>
              <w:keepNext w:val="0"/>
              <w:keepLines w:val="0"/>
              <w:jc w:val="left"/>
              <w:rPr>
                <w:rFonts w:asciiTheme="minorHAnsi" w:hAnsiTheme="minorHAnsi" w:cstheme="minorHAnsi"/>
                <w:sz w:val="22"/>
              </w:rPr>
            </w:pPr>
            <w:r w:rsidRPr="00ED7381">
              <w:rPr>
                <w:rFonts w:asciiTheme="minorHAnsi" w:hAnsiTheme="minorHAnsi" w:cstheme="minorHAnsi"/>
                <w:sz w:val="22"/>
              </w:rPr>
              <w:t>MODES OF DELIVERY</w:t>
            </w:r>
          </w:p>
        </w:tc>
        <w:tc>
          <w:tcPr>
            <w:tcW w:w="8671" w:type="dxa"/>
            <w:shd w:val="clear" w:color="auto" w:fill="auto"/>
          </w:tcPr>
          <w:p w:rsidR="009E3A56" w:rsidRPr="009224FD" w:rsidRDefault="009E3A56" w:rsidP="009E3A56">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9E3A56" w:rsidRPr="009224FD" w:rsidTr="00344AFF">
        <w:tc>
          <w:tcPr>
            <w:cnfStyle w:val="001000000000" w:firstRow="0" w:lastRow="0" w:firstColumn="1" w:lastColumn="0" w:oddVBand="0" w:evenVBand="0" w:oddHBand="0" w:evenHBand="0" w:firstRowFirstColumn="0" w:firstRowLastColumn="0" w:lastRowFirstColumn="0" w:lastRowLastColumn="0"/>
            <w:tcW w:w="4374" w:type="dxa"/>
            <w:shd w:val="clear" w:color="auto" w:fill="BDD6EE" w:themeFill="accent1" w:themeFillTint="66"/>
          </w:tcPr>
          <w:p w:rsidR="009E3A56" w:rsidRPr="00ED7381" w:rsidRDefault="009E3A56" w:rsidP="009E3A56">
            <w:pPr>
              <w:pStyle w:val="TableSubheading"/>
              <w:keepNext w:val="0"/>
              <w:keepLines w:val="0"/>
              <w:jc w:val="left"/>
              <w:rPr>
                <w:rFonts w:asciiTheme="minorHAnsi" w:hAnsiTheme="minorHAnsi" w:cstheme="minorHAnsi"/>
                <w:sz w:val="22"/>
              </w:rPr>
            </w:pPr>
            <w:r w:rsidRPr="00ED7381">
              <w:rPr>
                <w:rFonts w:asciiTheme="minorHAnsi" w:hAnsiTheme="minorHAnsi" w:cstheme="minorHAnsi"/>
                <w:sz w:val="22"/>
              </w:rPr>
              <w:t>MODULES</w:t>
            </w:r>
          </w:p>
          <w:p w:rsidR="009E3A56" w:rsidRPr="00ED7381" w:rsidRDefault="009E3A56" w:rsidP="009E3A56">
            <w:pPr>
              <w:pStyle w:val="TableText"/>
              <w:rPr>
                <w:rFonts w:asciiTheme="minorHAnsi" w:hAnsiTheme="minorHAnsi" w:cstheme="minorHAnsi"/>
                <w:sz w:val="22"/>
              </w:rPr>
            </w:pPr>
            <w:r w:rsidRPr="00ED7381">
              <w:rPr>
                <w:rFonts w:asciiTheme="minorHAnsi" w:hAnsiTheme="minorHAnsi" w:cstheme="minorHAnsi"/>
                <w:sz w:val="22"/>
              </w:rPr>
              <w:t>Number of Core Modules</w:t>
            </w:r>
          </w:p>
          <w:p w:rsidR="009E3A56" w:rsidRPr="00ED7381" w:rsidRDefault="009E3A56" w:rsidP="009E3A56">
            <w:pPr>
              <w:pStyle w:val="TableText"/>
              <w:rPr>
                <w:rFonts w:asciiTheme="minorHAnsi" w:hAnsiTheme="minorHAnsi" w:cstheme="minorHAnsi"/>
                <w:sz w:val="22"/>
              </w:rPr>
            </w:pPr>
            <w:r w:rsidRPr="00ED7381">
              <w:rPr>
                <w:rFonts w:asciiTheme="minorHAnsi" w:hAnsiTheme="minorHAnsi" w:cstheme="minorHAnsi"/>
                <w:sz w:val="22"/>
              </w:rPr>
              <w:t>Number of Optional Modules</w:t>
            </w:r>
          </w:p>
        </w:tc>
        <w:tc>
          <w:tcPr>
            <w:tcW w:w="8671" w:type="dxa"/>
            <w:shd w:val="clear" w:color="auto" w:fill="auto"/>
          </w:tcPr>
          <w:p w:rsidR="009E3A56" w:rsidRPr="009224FD" w:rsidRDefault="009E3A56" w:rsidP="009E3A56">
            <w:pPr>
              <w:pStyle w:val="TableText"/>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9E3A56" w:rsidRPr="009224FD" w:rsidTr="00344AFF">
        <w:tc>
          <w:tcPr>
            <w:cnfStyle w:val="001000000000" w:firstRow="0" w:lastRow="0" w:firstColumn="1" w:lastColumn="0" w:oddVBand="0" w:evenVBand="0" w:oddHBand="0" w:evenHBand="0" w:firstRowFirstColumn="0" w:firstRowLastColumn="0" w:lastRowFirstColumn="0" w:lastRowLastColumn="0"/>
            <w:tcW w:w="4374" w:type="dxa"/>
            <w:shd w:val="clear" w:color="auto" w:fill="BDD6EE" w:themeFill="accent1" w:themeFillTint="66"/>
          </w:tcPr>
          <w:p w:rsidR="009E3A56" w:rsidRPr="00ED7381" w:rsidRDefault="009E3A56" w:rsidP="009E3A56">
            <w:pPr>
              <w:pStyle w:val="TableSubheading"/>
              <w:keepNext w:val="0"/>
              <w:keepLines w:val="0"/>
              <w:jc w:val="left"/>
              <w:rPr>
                <w:rFonts w:asciiTheme="minorHAnsi" w:hAnsiTheme="minorHAnsi" w:cstheme="minorHAnsi"/>
                <w:sz w:val="22"/>
              </w:rPr>
            </w:pPr>
            <w:r w:rsidRPr="00ED7381">
              <w:rPr>
                <w:rFonts w:asciiTheme="minorHAnsi" w:hAnsiTheme="minorHAnsi" w:cstheme="minorHAnsi"/>
                <w:sz w:val="22"/>
              </w:rPr>
              <w:t xml:space="preserve">HAS PROGRAMME A CLINICAL COMPONENT? </w:t>
            </w:r>
            <w:r w:rsidRPr="007D66E2">
              <w:rPr>
                <w:rFonts w:asciiTheme="minorHAnsi" w:hAnsiTheme="minorHAnsi" w:cstheme="minorHAnsi"/>
                <w:b w:val="0"/>
                <w:sz w:val="22"/>
              </w:rPr>
              <w:t>YES/NO</w:t>
            </w:r>
          </w:p>
        </w:tc>
        <w:tc>
          <w:tcPr>
            <w:tcW w:w="8671" w:type="dxa"/>
            <w:shd w:val="clear" w:color="auto" w:fill="auto"/>
          </w:tcPr>
          <w:p w:rsidR="009E3A56" w:rsidRPr="009224FD" w:rsidRDefault="009E3A56" w:rsidP="009E3A56">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bl>
    <w:p w:rsidR="00B27788" w:rsidRDefault="00B27788" w:rsidP="00CE55DD">
      <w:pPr>
        <w:pStyle w:val="Footer"/>
        <w:jc w:val="both"/>
        <w:rPr>
          <w:rStyle w:val="Heading2Char"/>
          <w:rFonts w:asciiTheme="minorHAnsi" w:hAnsiTheme="minorHAnsi"/>
          <w:b w:val="0"/>
          <w:color w:val="auto"/>
          <w:sz w:val="22"/>
          <w:szCs w:val="22"/>
        </w:rPr>
      </w:pPr>
    </w:p>
    <w:p w:rsidR="005D1750" w:rsidRDefault="006A137E" w:rsidP="005D1750">
      <w:pPr>
        <w:pStyle w:val="Footer"/>
        <w:jc w:val="both"/>
        <w:rPr>
          <w:rStyle w:val="Heading2Char"/>
          <w:rFonts w:asciiTheme="minorHAnsi" w:hAnsiTheme="minorHAnsi"/>
          <w:b w:val="0"/>
          <w:i/>
          <w:color w:val="auto"/>
          <w:sz w:val="22"/>
          <w:szCs w:val="22"/>
        </w:rPr>
      </w:pPr>
      <w:r>
        <w:rPr>
          <w:rStyle w:val="Heading2Char"/>
          <w:rFonts w:asciiTheme="minorHAnsi" w:hAnsiTheme="minorHAnsi"/>
          <w:b w:val="0"/>
          <w:color w:val="auto"/>
          <w:sz w:val="22"/>
          <w:szCs w:val="22"/>
        </w:rPr>
        <w:t>In order to demonstrate that the programme is fit for purpose and meets the criteria for professional approval</w:t>
      </w:r>
      <w:r w:rsidR="005D1750">
        <w:rPr>
          <w:rStyle w:val="Heading2Char"/>
          <w:rFonts w:asciiTheme="minorHAnsi" w:hAnsiTheme="minorHAnsi"/>
          <w:b w:val="0"/>
          <w:color w:val="auto"/>
          <w:sz w:val="22"/>
          <w:szCs w:val="22"/>
        </w:rPr>
        <w:t>,</w:t>
      </w:r>
      <w:r>
        <w:rPr>
          <w:rStyle w:val="Heading2Char"/>
          <w:rFonts w:asciiTheme="minorHAnsi" w:hAnsiTheme="minorHAnsi"/>
          <w:b w:val="0"/>
          <w:color w:val="auto"/>
          <w:sz w:val="22"/>
          <w:szCs w:val="22"/>
        </w:rPr>
        <w:t xml:space="preserve"> the education provider is required to identify and describe</w:t>
      </w:r>
      <w:r w:rsidRPr="00FF7AEB">
        <w:rPr>
          <w:rStyle w:val="Heading2Char"/>
          <w:rFonts w:asciiTheme="minorHAnsi" w:hAnsiTheme="minorHAnsi"/>
          <w:b w:val="0"/>
          <w:color w:val="auto"/>
          <w:sz w:val="22"/>
          <w:szCs w:val="22"/>
        </w:rPr>
        <w:t xml:space="preserve"> </w:t>
      </w:r>
      <w:r>
        <w:rPr>
          <w:rStyle w:val="Heading2Char"/>
          <w:rFonts w:asciiTheme="minorHAnsi" w:hAnsiTheme="minorHAnsi"/>
          <w:b w:val="0"/>
          <w:color w:val="auto"/>
          <w:sz w:val="22"/>
          <w:szCs w:val="22"/>
        </w:rPr>
        <w:t xml:space="preserve">the evidence required under each of the indicators as outlined in the </w:t>
      </w:r>
      <w:r w:rsidRPr="005D1750">
        <w:rPr>
          <w:rStyle w:val="Heading2Char"/>
          <w:rFonts w:asciiTheme="minorHAnsi" w:hAnsiTheme="minorHAnsi"/>
          <w:b w:val="0"/>
          <w:color w:val="auto"/>
          <w:sz w:val="22"/>
          <w:szCs w:val="22"/>
        </w:rPr>
        <w:t xml:space="preserve">table below. </w:t>
      </w:r>
      <w:r w:rsidR="00FB1481" w:rsidRPr="005D1750">
        <w:rPr>
          <w:rStyle w:val="Heading2Char"/>
          <w:rFonts w:asciiTheme="minorHAnsi" w:hAnsiTheme="minorHAnsi"/>
          <w:b w:val="0"/>
          <w:color w:val="auto"/>
          <w:sz w:val="22"/>
          <w:szCs w:val="22"/>
        </w:rPr>
        <w:t xml:space="preserve">Each </w:t>
      </w:r>
      <w:r w:rsidR="00623709" w:rsidRPr="005D1750">
        <w:rPr>
          <w:rStyle w:val="Heading2Char"/>
          <w:rFonts w:asciiTheme="minorHAnsi" w:hAnsiTheme="minorHAnsi"/>
          <w:b w:val="0"/>
          <w:color w:val="auto"/>
          <w:sz w:val="22"/>
          <w:szCs w:val="22"/>
        </w:rPr>
        <w:t xml:space="preserve">of the eight </w:t>
      </w:r>
      <w:r w:rsidR="00FB1481" w:rsidRPr="005D1750">
        <w:rPr>
          <w:rStyle w:val="Heading2Char"/>
          <w:rFonts w:asciiTheme="minorHAnsi" w:hAnsiTheme="minorHAnsi"/>
          <w:b w:val="0"/>
          <w:color w:val="auto"/>
          <w:sz w:val="22"/>
          <w:szCs w:val="22"/>
        </w:rPr>
        <w:t>heading</w:t>
      </w:r>
      <w:r w:rsidR="00433E4E" w:rsidRPr="005D1750">
        <w:rPr>
          <w:rStyle w:val="Heading2Char"/>
          <w:rFonts w:asciiTheme="minorHAnsi" w:hAnsiTheme="minorHAnsi"/>
          <w:b w:val="0"/>
          <w:color w:val="auto"/>
          <w:sz w:val="22"/>
          <w:szCs w:val="22"/>
        </w:rPr>
        <w:t>s</w:t>
      </w:r>
      <w:r w:rsidR="00FB1481" w:rsidRPr="005D1750">
        <w:rPr>
          <w:rStyle w:val="Heading2Char"/>
          <w:rFonts w:asciiTheme="minorHAnsi" w:hAnsiTheme="minorHAnsi"/>
          <w:b w:val="0"/>
          <w:color w:val="auto"/>
          <w:sz w:val="22"/>
          <w:szCs w:val="22"/>
        </w:rPr>
        <w:t xml:space="preserve"> </w:t>
      </w:r>
      <w:r w:rsidR="00FF7AEB" w:rsidRPr="005D1750">
        <w:rPr>
          <w:rStyle w:val="Heading2Char"/>
          <w:rFonts w:asciiTheme="minorHAnsi" w:hAnsiTheme="minorHAnsi"/>
          <w:b w:val="0"/>
          <w:color w:val="auto"/>
          <w:sz w:val="22"/>
          <w:szCs w:val="22"/>
        </w:rPr>
        <w:t>reflects</w:t>
      </w:r>
      <w:r w:rsidR="00FB1481" w:rsidRPr="005D1750">
        <w:rPr>
          <w:rStyle w:val="Heading2Char"/>
          <w:rFonts w:asciiTheme="minorHAnsi" w:hAnsiTheme="minorHAnsi"/>
          <w:b w:val="0"/>
          <w:color w:val="auto"/>
          <w:sz w:val="22"/>
          <w:szCs w:val="22"/>
        </w:rPr>
        <w:t xml:space="preserve"> the criterion </w:t>
      </w:r>
      <w:r w:rsidR="00CE55DD" w:rsidRPr="005D1750">
        <w:rPr>
          <w:rStyle w:val="Heading2Char"/>
          <w:rFonts w:asciiTheme="minorHAnsi" w:hAnsiTheme="minorHAnsi"/>
          <w:b w:val="0"/>
          <w:color w:val="auto"/>
          <w:sz w:val="22"/>
          <w:szCs w:val="22"/>
        </w:rPr>
        <w:t xml:space="preserve">and </w:t>
      </w:r>
      <w:r w:rsidR="00FB1481" w:rsidRPr="005D1750">
        <w:rPr>
          <w:rStyle w:val="Heading2Char"/>
          <w:rFonts w:asciiTheme="minorHAnsi" w:hAnsiTheme="minorHAnsi"/>
          <w:b w:val="0"/>
          <w:color w:val="auto"/>
          <w:sz w:val="22"/>
          <w:szCs w:val="22"/>
        </w:rPr>
        <w:t>standard statement</w:t>
      </w:r>
      <w:r w:rsidR="00CE55DD" w:rsidRPr="005D1750">
        <w:rPr>
          <w:rStyle w:val="Heading2Char"/>
          <w:rFonts w:asciiTheme="minorHAnsi" w:hAnsiTheme="minorHAnsi"/>
          <w:b w:val="0"/>
          <w:color w:val="auto"/>
          <w:sz w:val="22"/>
          <w:szCs w:val="22"/>
        </w:rPr>
        <w:t xml:space="preserve">s plus </w:t>
      </w:r>
      <w:r w:rsidR="00FB1481" w:rsidRPr="005D1750">
        <w:rPr>
          <w:rStyle w:val="Heading2Char"/>
          <w:rFonts w:asciiTheme="minorHAnsi" w:hAnsiTheme="minorHAnsi"/>
          <w:b w:val="0"/>
          <w:color w:val="auto"/>
          <w:sz w:val="22"/>
          <w:szCs w:val="22"/>
        </w:rPr>
        <w:t xml:space="preserve">a series of indicators </w:t>
      </w:r>
      <w:r w:rsidR="00B27788" w:rsidRPr="005D1750">
        <w:rPr>
          <w:rStyle w:val="Heading2Char"/>
          <w:rFonts w:asciiTheme="minorHAnsi" w:hAnsiTheme="minorHAnsi"/>
          <w:b w:val="0"/>
          <w:color w:val="auto"/>
          <w:sz w:val="22"/>
          <w:szCs w:val="22"/>
        </w:rPr>
        <w:t>outlined in</w:t>
      </w:r>
      <w:r w:rsidR="005D1750" w:rsidRPr="005D1750">
        <w:rPr>
          <w:rStyle w:val="Heading2Char"/>
          <w:rFonts w:asciiTheme="minorHAnsi" w:hAnsiTheme="minorHAnsi"/>
          <w:b w:val="0"/>
          <w:color w:val="auto"/>
          <w:sz w:val="22"/>
          <w:szCs w:val="22"/>
        </w:rPr>
        <w:t xml:space="preserve"> </w:t>
      </w:r>
      <w:r w:rsidRPr="007D3332">
        <w:t xml:space="preserve">NMBI (2016) </w:t>
      </w:r>
      <w:r w:rsidRPr="006A137E">
        <w:rPr>
          <w:i/>
        </w:rPr>
        <w:t xml:space="preserve">section 3.2 </w:t>
      </w:r>
      <w:r w:rsidRPr="006A137E">
        <w:rPr>
          <w:rStyle w:val="Heading2Char"/>
          <w:rFonts w:asciiTheme="minorHAnsi" w:hAnsiTheme="minorHAnsi"/>
          <w:b w:val="0"/>
          <w:i/>
          <w:color w:val="auto"/>
          <w:sz w:val="22"/>
          <w:szCs w:val="22"/>
        </w:rPr>
        <w:t>Standards for the Approval of the Higher Education Institutions and Associated Health Care Provider Services and Educational Programmes Leading to Registration</w:t>
      </w:r>
      <w:r w:rsidR="005D1750">
        <w:rPr>
          <w:rStyle w:val="Heading2Char"/>
          <w:rFonts w:asciiTheme="minorHAnsi" w:hAnsiTheme="minorHAnsi"/>
          <w:b w:val="0"/>
          <w:i/>
          <w:color w:val="auto"/>
          <w:sz w:val="22"/>
          <w:szCs w:val="22"/>
        </w:rPr>
        <w:t>.</w:t>
      </w:r>
      <w:r>
        <w:rPr>
          <w:rStyle w:val="Heading2Char"/>
          <w:rFonts w:asciiTheme="minorHAnsi" w:hAnsiTheme="minorHAnsi"/>
          <w:b w:val="0"/>
          <w:i/>
          <w:color w:val="auto"/>
          <w:sz w:val="22"/>
          <w:szCs w:val="22"/>
        </w:rPr>
        <w:t xml:space="preserve"> </w:t>
      </w:r>
    </w:p>
    <w:p w:rsidR="005D1750" w:rsidRDefault="005D1750" w:rsidP="005D1750">
      <w:pPr>
        <w:pStyle w:val="Footer"/>
        <w:jc w:val="both"/>
        <w:rPr>
          <w:rStyle w:val="Heading2Char"/>
          <w:rFonts w:asciiTheme="minorHAnsi" w:hAnsiTheme="minorHAnsi"/>
          <w:b w:val="0"/>
          <w:i/>
          <w:color w:val="auto"/>
          <w:sz w:val="22"/>
          <w:szCs w:val="22"/>
        </w:rPr>
      </w:pPr>
    </w:p>
    <w:p w:rsidR="005D1750" w:rsidRDefault="005D1750" w:rsidP="005D1750">
      <w:pPr>
        <w:pStyle w:val="Footer"/>
        <w:jc w:val="both"/>
        <w:rPr>
          <w:rStyle w:val="Heading2Char"/>
          <w:rFonts w:asciiTheme="minorHAnsi" w:hAnsiTheme="minorHAnsi"/>
          <w:b w:val="0"/>
          <w:color w:val="auto"/>
          <w:sz w:val="22"/>
          <w:szCs w:val="22"/>
        </w:rPr>
      </w:pPr>
      <w:r>
        <w:rPr>
          <w:rStyle w:val="Heading2Char"/>
          <w:rFonts w:asciiTheme="minorHAnsi" w:hAnsiTheme="minorHAnsi"/>
          <w:b w:val="0"/>
          <w:color w:val="auto"/>
          <w:sz w:val="22"/>
          <w:szCs w:val="22"/>
        </w:rPr>
        <w:t>Reference:</w:t>
      </w:r>
    </w:p>
    <w:p w:rsidR="005D1750" w:rsidRPr="005D1750" w:rsidRDefault="006A137E" w:rsidP="005D1750">
      <w:pPr>
        <w:pStyle w:val="Footer"/>
        <w:jc w:val="both"/>
      </w:pPr>
      <w:r w:rsidRPr="005D1750">
        <w:rPr>
          <w:i/>
        </w:rPr>
        <w:t xml:space="preserve"> </w:t>
      </w:r>
      <w:proofErr w:type="gramStart"/>
      <w:r w:rsidR="005D1750" w:rsidRPr="005D1750">
        <w:t xml:space="preserve">NMBI (2016) </w:t>
      </w:r>
      <w:r w:rsidR="005D1750" w:rsidRPr="005D1750">
        <w:rPr>
          <w:i/>
        </w:rPr>
        <w:t>Nurse Registration Programmes Standards and Requirements.</w:t>
      </w:r>
      <w:proofErr w:type="gramEnd"/>
      <w:r w:rsidR="005D1750" w:rsidRPr="005D1750">
        <w:rPr>
          <w:i/>
        </w:rPr>
        <w:t xml:space="preserve"> </w:t>
      </w:r>
      <w:proofErr w:type="gramStart"/>
      <w:r w:rsidR="005D1750" w:rsidRPr="005D1750">
        <w:t>4</w:t>
      </w:r>
      <w:r w:rsidR="005D1750" w:rsidRPr="005D1750">
        <w:rPr>
          <w:vertAlign w:val="superscript"/>
        </w:rPr>
        <w:t>th</w:t>
      </w:r>
      <w:r w:rsidR="005D1750" w:rsidRPr="005D1750">
        <w:t xml:space="preserve"> edn</w:t>
      </w:r>
      <w:r w:rsidR="005D1750" w:rsidRPr="005D1750">
        <w:rPr>
          <w:i/>
        </w:rPr>
        <w:t>.</w:t>
      </w:r>
      <w:proofErr w:type="gramEnd"/>
      <w:r w:rsidR="005D1750" w:rsidRPr="005D1750">
        <w:t xml:space="preserve"> </w:t>
      </w:r>
      <w:proofErr w:type="gramStart"/>
      <w:r w:rsidR="005D1750" w:rsidRPr="005D1750">
        <w:t>Nursing and Midwifery Board of Ireland, Dublin.</w:t>
      </w:r>
      <w:proofErr w:type="gramEnd"/>
    </w:p>
    <w:p w:rsidR="006A137E" w:rsidRPr="005D1750" w:rsidRDefault="006A137E" w:rsidP="006A137E">
      <w:pPr>
        <w:pStyle w:val="Footer"/>
        <w:jc w:val="both"/>
        <w:rPr>
          <w:rStyle w:val="Heading2Char"/>
          <w:rFonts w:asciiTheme="minorHAnsi" w:hAnsiTheme="minorHAnsi"/>
          <w:b w:val="0"/>
          <w:color w:val="auto"/>
          <w:sz w:val="22"/>
          <w:szCs w:val="22"/>
        </w:rPr>
      </w:pPr>
    </w:p>
    <w:p w:rsidR="006A137E" w:rsidRDefault="006A137E" w:rsidP="00CE55DD">
      <w:pPr>
        <w:pStyle w:val="Footer"/>
        <w:jc w:val="both"/>
        <w:rPr>
          <w:rStyle w:val="Heading2Char"/>
          <w:rFonts w:asciiTheme="minorHAnsi" w:hAnsiTheme="minorHAnsi"/>
          <w:b w:val="0"/>
          <w:color w:val="auto"/>
          <w:sz w:val="22"/>
          <w:szCs w:val="22"/>
        </w:rPr>
      </w:pPr>
    </w:p>
    <w:p w:rsidR="00746C34" w:rsidRDefault="00746C34" w:rsidP="00746C34">
      <w:pPr>
        <w:pStyle w:val="Heading1"/>
      </w:pPr>
      <w:r w:rsidRPr="00746C34">
        <w:t>3.2.1 Curriculum Design and Development</w:t>
      </w:r>
    </w:p>
    <w:p w:rsidR="00746C34" w:rsidRPr="00627A45" w:rsidRDefault="00746C34" w:rsidP="00746C34">
      <w:pPr>
        <w:rPr>
          <w:b/>
          <w:color w:val="002060"/>
        </w:rPr>
      </w:pPr>
      <w:r w:rsidRPr="00627A45">
        <w:rPr>
          <w:b/>
          <w:color w:val="002060"/>
        </w:rPr>
        <w:t>Criterion:</w:t>
      </w:r>
    </w:p>
    <w:p w:rsidR="00746C34" w:rsidRPr="00C64FF7" w:rsidRDefault="00746C34" w:rsidP="00CE55DD">
      <w:pPr>
        <w:jc w:val="both"/>
      </w:pPr>
      <w:r w:rsidRPr="00C64FF7">
        <w:t xml:space="preserve">Curriculum design and development should reflect </w:t>
      </w:r>
      <w:proofErr w:type="gramStart"/>
      <w:r w:rsidRPr="00C64FF7">
        <w:t>current,</w:t>
      </w:r>
      <w:proofErr w:type="gramEnd"/>
      <w:r w:rsidRPr="00C64FF7">
        <w:t xml:space="preserve"> evidence/research based educational theory and health care practice. The curriculum model chosen should be dynamic and flexible to allow for changes in nursing practice and health care delivery, the development of evidence based professional practice and in response to educational, health, social and economic change.</w:t>
      </w:r>
    </w:p>
    <w:p w:rsidR="00746C34" w:rsidRPr="00C64FF7" w:rsidRDefault="00746C34" w:rsidP="00CE55DD">
      <w:pPr>
        <w:jc w:val="both"/>
        <w:rPr>
          <w:b/>
        </w:rPr>
      </w:pPr>
      <w:r w:rsidRPr="00C64FF7">
        <w:rPr>
          <w:b/>
        </w:rPr>
        <w:t xml:space="preserve">Standard: </w:t>
      </w:r>
    </w:p>
    <w:p w:rsidR="0061637C" w:rsidRPr="00753523" w:rsidRDefault="00746C34" w:rsidP="00CE55DD">
      <w:pPr>
        <w:jc w:val="both"/>
        <w:rPr>
          <w:b/>
        </w:rPr>
      </w:pPr>
      <w:r w:rsidRPr="00753523">
        <w:rPr>
          <w:b/>
        </w:rPr>
        <w:t>The curriculum is strategically planned to demonstrate balanced distribution and integration of theory and practice, in order to achieve the learning outcomes, proficiency and competencies for Registered Nurses as outlined in Section 2 of the Standards and Requirements of the Nursing and Midwifery Board of Ireland.</w:t>
      </w:r>
    </w:p>
    <w:tbl>
      <w:tblPr>
        <w:tblStyle w:val="TableGrid"/>
        <w:tblW w:w="13892" w:type="dxa"/>
        <w:tblInd w:w="-601" w:type="dxa"/>
        <w:tblLook w:val="04A0" w:firstRow="1" w:lastRow="0" w:firstColumn="1" w:lastColumn="0" w:noHBand="0" w:noVBand="1"/>
      </w:tblPr>
      <w:tblGrid>
        <w:gridCol w:w="440"/>
        <w:gridCol w:w="6223"/>
        <w:gridCol w:w="4961"/>
        <w:gridCol w:w="2268"/>
      </w:tblGrid>
      <w:tr w:rsidR="0061637C" w:rsidTr="00C64FF7">
        <w:tc>
          <w:tcPr>
            <w:tcW w:w="440" w:type="dxa"/>
          </w:tcPr>
          <w:p w:rsidR="0061637C" w:rsidRDefault="0061637C"/>
        </w:tc>
        <w:tc>
          <w:tcPr>
            <w:tcW w:w="6223" w:type="dxa"/>
          </w:tcPr>
          <w:p w:rsidR="0061637C" w:rsidRPr="00C64FF7" w:rsidRDefault="003A6FDB" w:rsidP="00753523">
            <w:pPr>
              <w:jc w:val="center"/>
              <w:rPr>
                <w:b/>
              </w:rPr>
            </w:pPr>
            <w:r>
              <w:rPr>
                <w:b/>
              </w:rPr>
              <w:t>Indicators</w:t>
            </w:r>
          </w:p>
        </w:tc>
        <w:tc>
          <w:tcPr>
            <w:tcW w:w="4961" w:type="dxa"/>
          </w:tcPr>
          <w:p w:rsidR="0061637C" w:rsidRPr="00C64FF7" w:rsidRDefault="00C64FF7" w:rsidP="00753523">
            <w:pPr>
              <w:jc w:val="center"/>
              <w:rPr>
                <w:b/>
              </w:rPr>
            </w:pPr>
            <w:r w:rsidRPr="00C64FF7">
              <w:rPr>
                <w:b/>
              </w:rPr>
              <w:t>Evidence</w:t>
            </w:r>
          </w:p>
        </w:tc>
        <w:tc>
          <w:tcPr>
            <w:tcW w:w="2268" w:type="dxa"/>
          </w:tcPr>
          <w:p w:rsidR="00753523" w:rsidRDefault="009B407A" w:rsidP="00753523">
            <w:pPr>
              <w:jc w:val="center"/>
              <w:rPr>
                <w:b/>
              </w:rPr>
            </w:pPr>
            <w:r w:rsidRPr="00C64FF7">
              <w:rPr>
                <w:b/>
              </w:rPr>
              <w:t>Reference</w:t>
            </w:r>
            <w:r w:rsidR="00C64FF7" w:rsidRPr="00C64FF7">
              <w:rPr>
                <w:b/>
              </w:rPr>
              <w:t xml:space="preserve"> page</w:t>
            </w:r>
          </w:p>
          <w:p w:rsidR="0061637C" w:rsidRPr="00C64FF7" w:rsidRDefault="00C64FF7" w:rsidP="00753523">
            <w:pPr>
              <w:jc w:val="center"/>
              <w:rPr>
                <w:b/>
              </w:rPr>
            </w:pPr>
            <w:r w:rsidRPr="00C64FF7">
              <w:rPr>
                <w:b/>
              </w:rPr>
              <w:t xml:space="preserve"> in Document</w:t>
            </w:r>
          </w:p>
        </w:tc>
      </w:tr>
      <w:tr w:rsidR="0061637C" w:rsidTr="00C64FF7">
        <w:tc>
          <w:tcPr>
            <w:tcW w:w="440" w:type="dxa"/>
          </w:tcPr>
          <w:p w:rsidR="0061637C" w:rsidRDefault="0061637C">
            <w:r>
              <w:t>1</w:t>
            </w:r>
          </w:p>
        </w:tc>
        <w:tc>
          <w:tcPr>
            <w:tcW w:w="6223" w:type="dxa"/>
          </w:tcPr>
          <w:p w:rsidR="0061637C" w:rsidRDefault="0061637C">
            <w:r w:rsidRPr="0061637C">
              <w:t>The programme of study is designed as a Level 8 Honours Bachelor’s level on the National Framework of Qualifications (QQI, 2014).</w:t>
            </w:r>
          </w:p>
          <w:p w:rsidR="0061637C" w:rsidRDefault="0061637C"/>
        </w:tc>
        <w:tc>
          <w:tcPr>
            <w:tcW w:w="4961" w:type="dxa"/>
          </w:tcPr>
          <w:p w:rsidR="0061637C" w:rsidRDefault="0061637C"/>
        </w:tc>
        <w:tc>
          <w:tcPr>
            <w:tcW w:w="2268" w:type="dxa"/>
          </w:tcPr>
          <w:p w:rsidR="0061637C" w:rsidRDefault="0061637C"/>
        </w:tc>
      </w:tr>
      <w:tr w:rsidR="0061637C" w:rsidTr="00C64FF7">
        <w:tc>
          <w:tcPr>
            <w:tcW w:w="440" w:type="dxa"/>
          </w:tcPr>
          <w:p w:rsidR="0061637C" w:rsidRDefault="0061637C">
            <w:r>
              <w:t>2</w:t>
            </w:r>
          </w:p>
        </w:tc>
        <w:tc>
          <w:tcPr>
            <w:tcW w:w="6223" w:type="dxa"/>
          </w:tcPr>
          <w:p w:rsidR="0061637C" w:rsidRDefault="0061637C" w:rsidP="005D1750">
            <w:r w:rsidRPr="0061637C">
              <w:t>The curriculum design and development ensures that the programme meets all Nursing and Midwifery Board of Ireland (NMBI) statutory requirements and EU Directives for Nurse Registration Education Programmes</w:t>
            </w:r>
            <w:r w:rsidR="005D1750">
              <w:t>.</w:t>
            </w:r>
          </w:p>
          <w:p w:rsidR="00F27E82" w:rsidRDefault="00F27E82" w:rsidP="005D1750"/>
          <w:p w:rsidR="00D42F59" w:rsidRDefault="00D42F59" w:rsidP="005D1750"/>
        </w:tc>
        <w:tc>
          <w:tcPr>
            <w:tcW w:w="4961" w:type="dxa"/>
          </w:tcPr>
          <w:p w:rsidR="0061637C" w:rsidRDefault="0061637C"/>
        </w:tc>
        <w:tc>
          <w:tcPr>
            <w:tcW w:w="2268" w:type="dxa"/>
          </w:tcPr>
          <w:p w:rsidR="0061637C" w:rsidRDefault="0061637C"/>
        </w:tc>
      </w:tr>
      <w:tr w:rsidR="0061637C" w:rsidTr="00C64FF7">
        <w:tc>
          <w:tcPr>
            <w:tcW w:w="440" w:type="dxa"/>
          </w:tcPr>
          <w:p w:rsidR="0061637C" w:rsidRDefault="0061637C">
            <w:r>
              <w:t>3</w:t>
            </w:r>
          </w:p>
        </w:tc>
        <w:tc>
          <w:tcPr>
            <w:tcW w:w="6223" w:type="dxa"/>
          </w:tcPr>
          <w:p w:rsidR="0061637C" w:rsidRDefault="0061637C" w:rsidP="0061637C">
            <w:r w:rsidRPr="0061637C">
              <w:t>The programme demonstrates consistency wit</w:t>
            </w:r>
            <w:r>
              <w:t xml:space="preserve">h the NMBI Code of Professional </w:t>
            </w:r>
            <w:r w:rsidRPr="0061637C">
              <w:t>Co</w:t>
            </w:r>
            <w:r>
              <w:t>nduct and Ethics for Registered Nurses and Registered Midwives</w:t>
            </w:r>
            <w:r w:rsidR="00166950">
              <w:t>.</w:t>
            </w:r>
            <w:r>
              <w:t xml:space="preserve"> </w:t>
            </w:r>
          </w:p>
          <w:p w:rsidR="0061637C" w:rsidRDefault="0061637C" w:rsidP="0061637C"/>
        </w:tc>
        <w:tc>
          <w:tcPr>
            <w:tcW w:w="4961" w:type="dxa"/>
          </w:tcPr>
          <w:p w:rsidR="0061637C" w:rsidRDefault="0061637C"/>
        </w:tc>
        <w:tc>
          <w:tcPr>
            <w:tcW w:w="2268" w:type="dxa"/>
          </w:tcPr>
          <w:p w:rsidR="0061637C" w:rsidRDefault="0061637C"/>
        </w:tc>
      </w:tr>
      <w:tr w:rsidR="0061637C" w:rsidTr="00C64FF7">
        <w:tc>
          <w:tcPr>
            <w:tcW w:w="440" w:type="dxa"/>
          </w:tcPr>
          <w:p w:rsidR="0061637C" w:rsidRDefault="0061637C">
            <w:r>
              <w:t>4</w:t>
            </w:r>
          </w:p>
        </w:tc>
        <w:tc>
          <w:tcPr>
            <w:tcW w:w="6223" w:type="dxa"/>
          </w:tcPr>
          <w:p w:rsidR="0061637C" w:rsidRDefault="00FD7D66">
            <w:r w:rsidRPr="00FD7D66">
              <w:t>The programme of study makes safety of the person and protection of the public an integral, explicit and continuing component within the curriculum</w:t>
            </w:r>
            <w:r w:rsidR="00166950">
              <w:t>.</w:t>
            </w:r>
          </w:p>
          <w:p w:rsidR="00FD7D66" w:rsidRDefault="00FD7D66"/>
        </w:tc>
        <w:tc>
          <w:tcPr>
            <w:tcW w:w="4961" w:type="dxa"/>
          </w:tcPr>
          <w:p w:rsidR="0061637C" w:rsidRDefault="0061637C"/>
        </w:tc>
        <w:tc>
          <w:tcPr>
            <w:tcW w:w="2268" w:type="dxa"/>
          </w:tcPr>
          <w:p w:rsidR="0061637C" w:rsidRDefault="0061637C"/>
        </w:tc>
      </w:tr>
      <w:tr w:rsidR="0061637C" w:rsidTr="00C64FF7">
        <w:tc>
          <w:tcPr>
            <w:tcW w:w="440" w:type="dxa"/>
          </w:tcPr>
          <w:p w:rsidR="0061637C" w:rsidRDefault="0061637C">
            <w:r>
              <w:t>5</w:t>
            </w:r>
          </w:p>
        </w:tc>
        <w:tc>
          <w:tcPr>
            <w:tcW w:w="6223" w:type="dxa"/>
          </w:tcPr>
          <w:p w:rsidR="0061637C" w:rsidRDefault="00FD7D66">
            <w:r w:rsidRPr="00FD7D66">
              <w:t>The programme of study shows the theme of consultation, collaboration, participation, engagement with the person receiving health care and choice as integral, explicit and continuing components within the curriculum</w:t>
            </w:r>
            <w:r w:rsidR="00166950">
              <w:t>.</w:t>
            </w:r>
          </w:p>
          <w:p w:rsidR="00FD7D66" w:rsidRDefault="00FD7D66"/>
        </w:tc>
        <w:tc>
          <w:tcPr>
            <w:tcW w:w="4961" w:type="dxa"/>
          </w:tcPr>
          <w:p w:rsidR="0061637C" w:rsidRDefault="0061637C"/>
        </w:tc>
        <w:tc>
          <w:tcPr>
            <w:tcW w:w="2268" w:type="dxa"/>
          </w:tcPr>
          <w:p w:rsidR="0061637C" w:rsidRDefault="0061637C"/>
        </w:tc>
      </w:tr>
      <w:tr w:rsidR="0061637C" w:rsidTr="00C64FF7">
        <w:tc>
          <w:tcPr>
            <w:tcW w:w="440" w:type="dxa"/>
          </w:tcPr>
          <w:p w:rsidR="0061637C" w:rsidRDefault="00FD7D66">
            <w:r>
              <w:t>6</w:t>
            </w:r>
          </w:p>
        </w:tc>
        <w:tc>
          <w:tcPr>
            <w:tcW w:w="6223" w:type="dxa"/>
          </w:tcPr>
          <w:p w:rsidR="0061637C" w:rsidRDefault="00FD7D66">
            <w:r w:rsidRPr="00FD7D66">
              <w:t>The programme of study demonstrates that the delivery of person-focused nursing care respects the dignity, autonomy, and right of the person receiving care to make health and life choices as integral, explicit and continuing elements with the curriculum.</w:t>
            </w:r>
          </w:p>
          <w:p w:rsidR="00FD7D66" w:rsidRDefault="00FD7D66"/>
        </w:tc>
        <w:tc>
          <w:tcPr>
            <w:tcW w:w="4961" w:type="dxa"/>
          </w:tcPr>
          <w:p w:rsidR="0061637C" w:rsidRDefault="0061637C"/>
        </w:tc>
        <w:tc>
          <w:tcPr>
            <w:tcW w:w="2268" w:type="dxa"/>
          </w:tcPr>
          <w:p w:rsidR="0061637C" w:rsidRDefault="0061637C"/>
        </w:tc>
      </w:tr>
      <w:tr w:rsidR="0061637C" w:rsidTr="00C64FF7">
        <w:tc>
          <w:tcPr>
            <w:tcW w:w="440" w:type="dxa"/>
          </w:tcPr>
          <w:p w:rsidR="0061637C" w:rsidRDefault="00FD7D66">
            <w:r>
              <w:t>7</w:t>
            </w:r>
          </w:p>
        </w:tc>
        <w:tc>
          <w:tcPr>
            <w:tcW w:w="6223" w:type="dxa"/>
          </w:tcPr>
          <w:p w:rsidR="0061637C" w:rsidRDefault="00FD7D66">
            <w:r w:rsidRPr="00FD7D66">
              <w:t>Current educational theory, professional nursing knowledge and advances in health care practice, which are evidence/research based, guide curriculum design and development.</w:t>
            </w:r>
          </w:p>
          <w:p w:rsidR="00FD7D66" w:rsidRDefault="00FD7D66"/>
        </w:tc>
        <w:tc>
          <w:tcPr>
            <w:tcW w:w="4961" w:type="dxa"/>
          </w:tcPr>
          <w:p w:rsidR="0061637C" w:rsidRDefault="0061637C"/>
        </w:tc>
        <w:tc>
          <w:tcPr>
            <w:tcW w:w="2268" w:type="dxa"/>
          </w:tcPr>
          <w:p w:rsidR="0061637C" w:rsidRDefault="0061637C"/>
        </w:tc>
      </w:tr>
      <w:tr w:rsidR="00FD7D66" w:rsidTr="00C64FF7">
        <w:tc>
          <w:tcPr>
            <w:tcW w:w="440" w:type="dxa"/>
          </w:tcPr>
          <w:p w:rsidR="00FD7D66" w:rsidRDefault="00FD7D66" w:rsidP="009B407A">
            <w:r>
              <w:t>8</w:t>
            </w:r>
          </w:p>
        </w:tc>
        <w:tc>
          <w:tcPr>
            <w:tcW w:w="6223" w:type="dxa"/>
          </w:tcPr>
          <w:p w:rsidR="00FD7D66" w:rsidRDefault="00FD7D66" w:rsidP="009B407A">
            <w:r w:rsidRPr="00FD7D66">
              <w:t xml:space="preserve">The curriculum development team is led by academic </w:t>
            </w:r>
            <w:r w:rsidR="00D42F59" w:rsidRPr="00FD7D66">
              <w:t>staff who</w:t>
            </w:r>
            <w:r w:rsidR="00D42F59">
              <w:t xml:space="preserve"> </w:t>
            </w:r>
            <w:proofErr w:type="gramStart"/>
            <w:r w:rsidR="00D42F59">
              <w:t>are</w:t>
            </w:r>
            <w:r w:rsidR="00D42F59" w:rsidRPr="00FD7D66">
              <w:t xml:space="preserve"> </w:t>
            </w:r>
            <w:r w:rsidRPr="00FD7D66">
              <w:t xml:space="preserve"> Registered</w:t>
            </w:r>
            <w:proofErr w:type="gramEnd"/>
            <w:r w:rsidRPr="00FD7D66">
              <w:t xml:space="preserve"> Nurse </w:t>
            </w:r>
            <w:r w:rsidR="00D42F59" w:rsidRPr="00FD7D66">
              <w:t xml:space="preserve">Tutors </w:t>
            </w:r>
            <w:r w:rsidR="00166950">
              <w:rPr>
                <w:vertAlign w:val="superscript"/>
              </w:rPr>
              <w:t>40</w:t>
            </w:r>
            <w:r w:rsidR="00D42F59">
              <w:t xml:space="preserve">  </w:t>
            </w:r>
            <w:r w:rsidR="00D42F59" w:rsidRPr="00FD7D66">
              <w:t>and</w:t>
            </w:r>
            <w:r w:rsidRPr="00FD7D66">
              <w:t xml:space="preserve"> comprises representative members of key academic and clinical stakeholders in nursing practice.</w:t>
            </w:r>
          </w:p>
          <w:p w:rsidR="00FD7D66" w:rsidRDefault="00FD7D66" w:rsidP="009B407A"/>
        </w:tc>
        <w:tc>
          <w:tcPr>
            <w:tcW w:w="4961" w:type="dxa"/>
          </w:tcPr>
          <w:p w:rsidR="00961639" w:rsidRDefault="00961639" w:rsidP="009669C1"/>
        </w:tc>
        <w:tc>
          <w:tcPr>
            <w:tcW w:w="2268" w:type="dxa"/>
          </w:tcPr>
          <w:p w:rsidR="00FD7D66" w:rsidRDefault="00FD7D66" w:rsidP="009B407A"/>
        </w:tc>
      </w:tr>
      <w:tr w:rsidR="00FD7D66" w:rsidTr="00C64FF7">
        <w:tc>
          <w:tcPr>
            <w:tcW w:w="440" w:type="dxa"/>
          </w:tcPr>
          <w:p w:rsidR="00FD7D66" w:rsidRDefault="00FD7D66" w:rsidP="009B407A">
            <w:r>
              <w:t>9</w:t>
            </w:r>
          </w:p>
        </w:tc>
        <w:tc>
          <w:tcPr>
            <w:tcW w:w="6223" w:type="dxa"/>
          </w:tcPr>
          <w:p w:rsidR="00FD7D66" w:rsidRDefault="00FD7D66" w:rsidP="009B407A">
            <w:r w:rsidRPr="00FD7D66">
              <w:t>The curriculum describes the range of knowledge, competencies, skills and professional attributes designed to assist the development of knowledgeable, competent, reflective practitioners capable of accepting personal and professional accountability for delivering evidence-based practice and for life-long learning.</w:t>
            </w:r>
          </w:p>
          <w:p w:rsidR="00FD7D66" w:rsidRDefault="00FD7D66" w:rsidP="009B407A"/>
        </w:tc>
        <w:tc>
          <w:tcPr>
            <w:tcW w:w="4961" w:type="dxa"/>
          </w:tcPr>
          <w:p w:rsidR="00FD7D66" w:rsidRDefault="00FD7D66" w:rsidP="009B407A"/>
        </w:tc>
        <w:tc>
          <w:tcPr>
            <w:tcW w:w="2268" w:type="dxa"/>
          </w:tcPr>
          <w:p w:rsidR="00FD7D66" w:rsidRDefault="00FD7D66" w:rsidP="009B407A"/>
        </w:tc>
      </w:tr>
      <w:tr w:rsidR="00FD7D66" w:rsidTr="00C64FF7">
        <w:tc>
          <w:tcPr>
            <w:tcW w:w="440" w:type="dxa"/>
          </w:tcPr>
          <w:p w:rsidR="00FD7D66" w:rsidRDefault="00FD7D66" w:rsidP="009B407A">
            <w:r>
              <w:t>10</w:t>
            </w:r>
          </w:p>
        </w:tc>
        <w:tc>
          <w:tcPr>
            <w:tcW w:w="6223" w:type="dxa"/>
          </w:tcPr>
          <w:p w:rsidR="00FD7D66" w:rsidRDefault="00FD7D66" w:rsidP="009B407A">
            <w:r w:rsidRPr="00FD7D66">
              <w:t xml:space="preserve">The curriculum design reflects various methods of teaching/learning and provides </w:t>
            </w:r>
            <w:r w:rsidR="00753523" w:rsidRPr="00FD7D66">
              <w:t>a balance</w:t>
            </w:r>
            <w:r w:rsidRPr="00FD7D66">
              <w:t xml:space="preserve"> between lectures, tutorials, workshops, small group teaching, interactive learning (e.g. problem-based) demonstrations, practical work and self-directed learning</w:t>
            </w:r>
            <w:r w:rsidR="00166950">
              <w:t>.</w:t>
            </w:r>
          </w:p>
          <w:p w:rsidR="00FD7D66" w:rsidRDefault="00FD7D66" w:rsidP="009B407A"/>
        </w:tc>
        <w:tc>
          <w:tcPr>
            <w:tcW w:w="4961" w:type="dxa"/>
          </w:tcPr>
          <w:p w:rsidR="00FD7D66" w:rsidRDefault="00FD7D66" w:rsidP="009B407A"/>
        </w:tc>
        <w:tc>
          <w:tcPr>
            <w:tcW w:w="2268" w:type="dxa"/>
          </w:tcPr>
          <w:p w:rsidR="00FD7D66" w:rsidRDefault="00FD7D66" w:rsidP="009B407A"/>
        </w:tc>
      </w:tr>
      <w:tr w:rsidR="00FD7D66" w:rsidTr="00C64FF7">
        <w:tc>
          <w:tcPr>
            <w:tcW w:w="440" w:type="dxa"/>
          </w:tcPr>
          <w:p w:rsidR="00FD7D66" w:rsidRDefault="00FD7D66" w:rsidP="009B407A">
            <w:r>
              <w:t>11</w:t>
            </w:r>
          </w:p>
        </w:tc>
        <w:tc>
          <w:tcPr>
            <w:tcW w:w="6223" w:type="dxa"/>
          </w:tcPr>
          <w:p w:rsidR="00FD7D66" w:rsidRDefault="00FD7D66" w:rsidP="009B407A">
            <w:r w:rsidRPr="00FD7D66">
              <w:t>The curriculum articulates opportunities for intentional, shared, interprofessional learning that is designed to enhance collaborative practice with other health professionals.</w:t>
            </w:r>
          </w:p>
          <w:p w:rsidR="00FD7D66" w:rsidRDefault="00FD7D66" w:rsidP="009B407A"/>
        </w:tc>
        <w:tc>
          <w:tcPr>
            <w:tcW w:w="4961" w:type="dxa"/>
          </w:tcPr>
          <w:p w:rsidR="00FD7D66" w:rsidRDefault="00FD7D66" w:rsidP="009B407A"/>
        </w:tc>
        <w:tc>
          <w:tcPr>
            <w:tcW w:w="2268" w:type="dxa"/>
          </w:tcPr>
          <w:p w:rsidR="00FD7D66" w:rsidRDefault="00FD7D66" w:rsidP="009B407A"/>
        </w:tc>
      </w:tr>
      <w:tr w:rsidR="00FD7D66" w:rsidTr="00C64FF7">
        <w:tc>
          <w:tcPr>
            <w:tcW w:w="440" w:type="dxa"/>
          </w:tcPr>
          <w:p w:rsidR="00FD7D66" w:rsidRDefault="00FD7D66" w:rsidP="009B407A">
            <w:r>
              <w:t>12</w:t>
            </w:r>
          </w:p>
        </w:tc>
        <w:tc>
          <w:tcPr>
            <w:tcW w:w="6223" w:type="dxa"/>
          </w:tcPr>
          <w:p w:rsidR="00FD7D66" w:rsidRDefault="00FD7D66" w:rsidP="009B407A">
            <w:r w:rsidRPr="00FD7D66">
              <w:t>Module descriptors identify the ECTS</w:t>
            </w:r>
            <w:r w:rsidR="00166950">
              <w:t xml:space="preserve"> </w:t>
            </w:r>
            <w:r w:rsidR="00753523">
              <w:rPr>
                <w:vertAlign w:val="superscript"/>
              </w:rPr>
              <w:t>41</w:t>
            </w:r>
            <w:r w:rsidRPr="00FD7D66">
              <w:t xml:space="preserve"> credits, aims, learning outcomes, indicative content, student contact hours, student effort/self-directed learning hours and assessment strategy (-ies).</w:t>
            </w:r>
          </w:p>
          <w:p w:rsidR="00FD7D66" w:rsidRDefault="00FD7D66" w:rsidP="009B407A"/>
        </w:tc>
        <w:tc>
          <w:tcPr>
            <w:tcW w:w="4961" w:type="dxa"/>
          </w:tcPr>
          <w:p w:rsidR="00FD7D66" w:rsidRDefault="00FD7D66" w:rsidP="009B407A"/>
        </w:tc>
        <w:tc>
          <w:tcPr>
            <w:tcW w:w="2268" w:type="dxa"/>
          </w:tcPr>
          <w:p w:rsidR="00FD7D66" w:rsidRDefault="00FD7D66" w:rsidP="009B407A"/>
        </w:tc>
      </w:tr>
      <w:tr w:rsidR="00FD7D66" w:rsidTr="00C64FF7">
        <w:tc>
          <w:tcPr>
            <w:tcW w:w="440" w:type="dxa"/>
          </w:tcPr>
          <w:p w:rsidR="00FD7D66" w:rsidRDefault="00FD7D66" w:rsidP="009B407A">
            <w:r>
              <w:t>13</w:t>
            </w:r>
          </w:p>
        </w:tc>
        <w:tc>
          <w:tcPr>
            <w:tcW w:w="6223" w:type="dxa"/>
          </w:tcPr>
          <w:p w:rsidR="00FD7D66" w:rsidRDefault="00FD7D66" w:rsidP="009B407A">
            <w:r w:rsidRPr="00FD7D66">
              <w:t>The curriculum articulates how the student is enabled to achieve the expected learning outcomes of the programme.</w:t>
            </w:r>
          </w:p>
          <w:p w:rsidR="00FD7D66" w:rsidRDefault="00FD7D66" w:rsidP="009B407A"/>
        </w:tc>
        <w:tc>
          <w:tcPr>
            <w:tcW w:w="4961" w:type="dxa"/>
          </w:tcPr>
          <w:p w:rsidR="00FD7D66" w:rsidRDefault="00FD7D66" w:rsidP="009B407A"/>
        </w:tc>
        <w:tc>
          <w:tcPr>
            <w:tcW w:w="2268" w:type="dxa"/>
          </w:tcPr>
          <w:p w:rsidR="00FD7D66" w:rsidRDefault="00FD7D66" w:rsidP="009B407A"/>
        </w:tc>
      </w:tr>
      <w:tr w:rsidR="00FD7D66" w:rsidTr="00C64FF7">
        <w:tc>
          <w:tcPr>
            <w:tcW w:w="440" w:type="dxa"/>
          </w:tcPr>
          <w:p w:rsidR="00FD7D66" w:rsidRDefault="00FD7D66" w:rsidP="009B407A">
            <w:r>
              <w:t>14</w:t>
            </w:r>
          </w:p>
        </w:tc>
        <w:tc>
          <w:tcPr>
            <w:tcW w:w="6223" w:type="dxa"/>
          </w:tcPr>
          <w:p w:rsidR="00FD7D66" w:rsidRDefault="00FD7D66" w:rsidP="00FD7D66">
            <w:r>
              <w:t xml:space="preserve">There is evidence of involvement of persons receiving healthcare in the review and evaluation of the programme and in curriculum development. </w:t>
            </w:r>
          </w:p>
          <w:p w:rsidR="00FD7D66" w:rsidRDefault="00FD7D66" w:rsidP="009B407A"/>
        </w:tc>
        <w:tc>
          <w:tcPr>
            <w:tcW w:w="4961" w:type="dxa"/>
          </w:tcPr>
          <w:p w:rsidR="00FD7D66" w:rsidRDefault="00FD7D66" w:rsidP="009B407A"/>
        </w:tc>
        <w:tc>
          <w:tcPr>
            <w:tcW w:w="2268" w:type="dxa"/>
          </w:tcPr>
          <w:p w:rsidR="00FD7D66" w:rsidRDefault="00FD7D66" w:rsidP="009B407A"/>
        </w:tc>
      </w:tr>
    </w:tbl>
    <w:p w:rsidR="0061637C" w:rsidRDefault="0061637C"/>
    <w:p w:rsidR="00FD7D66" w:rsidRDefault="00FD7D66" w:rsidP="00FD7D66">
      <w:r>
        <w:t xml:space="preserve">40 Or hold academic and teaching qualifications and experience deemed equivalent and approved by the Nursing </w:t>
      </w:r>
      <w:proofErr w:type="gramStart"/>
      <w:r>
        <w:t>and  Midwifery</w:t>
      </w:r>
      <w:proofErr w:type="gramEnd"/>
      <w:r>
        <w:t xml:space="preserve"> Board of Ireland.</w:t>
      </w:r>
    </w:p>
    <w:p w:rsidR="00FD7D66" w:rsidRDefault="00FD7D66" w:rsidP="00FD7D66">
      <w:proofErr w:type="gramStart"/>
      <w:r>
        <w:t>41 European Credit Transfer System credits widely adopted in the EU.</w:t>
      </w:r>
      <w:proofErr w:type="gramEnd"/>
    </w:p>
    <w:p w:rsidR="00753523" w:rsidRDefault="00753523">
      <w:r>
        <w:br w:type="page"/>
      </w:r>
    </w:p>
    <w:p w:rsidR="00820DE3" w:rsidRPr="00820DE3" w:rsidRDefault="00820DE3" w:rsidP="00810BBA">
      <w:pPr>
        <w:pStyle w:val="Heading1"/>
      </w:pPr>
      <w:r w:rsidRPr="00820DE3">
        <w:t>3.2.2 Student Entry, Admission, Transfer, Discontinuation and Completion</w:t>
      </w:r>
    </w:p>
    <w:p w:rsidR="00F27E82" w:rsidRDefault="00F27E82" w:rsidP="00753523">
      <w:pPr>
        <w:jc w:val="both"/>
        <w:rPr>
          <w:b/>
        </w:rPr>
      </w:pPr>
    </w:p>
    <w:p w:rsidR="00F27E82" w:rsidRDefault="00820DE3" w:rsidP="00753523">
      <w:pPr>
        <w:jc w:val="both"/>
      </w:pPr>
      <w:r w:rsidRPr="00753523">
        <w:rPr>
          <w:b/>
        </w:rPr>
        <w:t>Criterion</w:t>
      </w:r>
      <w:r w:rsidRPr="00753523">
        <w:t xml:space="preserve">:  </w:t>
      </w:r>
    </w:p>
    <w:p w:rsidR="00820DE3" w:rsidRPr="00753523" w:rsidRDefault="00820DE3" w:rsidP="00753523">
      <w:pPr>
        <w:jc w:val="both"/>
      </w:pPr>
      <w:r w:rsidRPr="00753523">
        <w:t>The Higher Education Institution should provide explicit information to applicants and potential students as to the minimum entry requirements for admission to, transfer and discontinuation from, and completion of the programme of study. At the beginning of the programme, the HEI should provide students with information on academic support, personal guidance, student services and academic facilities.</w:t>
      </w:r>
    </w:p>
    <w:p w:rsidR="00F27E82" w:rsidRDefault="00820DE3" w:rsidP="00753523">
      <w:pPr>
        <w:jc w:val="both"/>
      </w:pPr>
      <w:r w:rsidRPr="00753523">
        <w:rPr>
          <w:b/>
        </w:rPr>
        <w:t>Standard:</w:t>
      </w:r>
      <w:r w:rsidRPr="00753523">
        <w:t xml:space="preserve"> </w:t>
      </w:r>
    </w:p>
    <w:p w:rsidR="00820DE3" w:rsidRDefault="00820DE3" w:rsidP="00753523">
      <w:pPr>
        <w:jc w:val="both"/>
        <w:rPr>
          <w:b/>
        </w:rPr>
      </w:pPr>
      <w:r w:rsidRPr="00753523">
        <w:rPr>
          <w:b/>
        </w:rPr>
        <w:t xml:space="preserve">The Higher Education Institution demonstrates a commitment to fair and transparent processes for student admission, entry, transfer, discontinuation and completion.  </w:t>
      </w:r>
    </w:p>
    <w:tbl>
      <w:tblPr>
        <w:tblStyle w:val="TableGrid"/>
        <w:tblW w:w="13892" w:type="dxa"/>
        <w:tblInd w:w="-601" w:type="dxa"/>
        <w:tblLook w:val="04A0" w:firstRow="1" w:lastRow="0" w:firstColumn="1" w:lastColumn="0" w:noHBand="0" w:noVBand="1"/>
      </w:tblPr>
      <w:tblGrid>
        <w:gridCol w:w="440"/>
        <w:gridCol w:w="6223"/>
        <w:gridCol w:w="4961"/>
        <w:gridCol w:w="2268"/>
      </w:tblGrid>
      <w:tr w:rsidR="00753523" w:rsidRPr="00C64FF7" w:rsidTr="009E3A56">
        <w:tc>
          <w:tcPr>
            <w:tcW w:w="440" w:type="dxa"/>
          </w:tcPr>
          <w:p w:rsidR="00753523" w:rsidRDefault="00753523" w:rsidP="009E3A56"/>
        </w:tc>
        <w:tc>
          <w:tcPr>
            <w:tcW w:w="6223" w:type="dxa"/>
          </w:tcPr>
          <w:p w:rsidR="00753523" w:rsidRPr="00C64FF7" w:rsidRDefault="00753523" w:rsidP="00753523">
            <w:pPr>
              <w:jc w:val="center"/>
              <w:rPr>
                <w:b/>
              </w:rPr>
            </w:pPr>
            <w:r>
              <w:rPr>
                <w:b/>
              </w:rPr>
              <w:t>Indicators</w:t>
            </w:r>
          </w:p>
        </w:tc>
        <w:tc>
          <w:tcPr>
            <w:tcW w:w="4961" w:type="dxa"/>
          </w:tcPr>
          <w:p w:rsidR="00753523" w:rsidRPr="00C64FF7" w:rsidRDefault="00753523" w:rsidP="00753523">
            <w:pPr>
              <w:jc w:val="center"/>
              <w:rPr>
                <w:b/>
              </w:rPr>
            </w:pPr>
            <w:r w:rsidRPr="00C64FF7">
              <w:rPr>
                <w:b/>
              </w:rPr>
              <w:t>Evidence</w:t>
            </w:r>
          </w:p>
        </w:tc>
        <w:tc>
          <w:tcPr>
            <w:tcW w:w="2268" w:type="dxa"/>
          </w:tcPr>
          <w:p w:rsidR="00753523" w:rsidRDefault="00753523" w:rsidP="00753523">
            <w:pPr>
              <w:jc w:val="center"/>
              <w:rPr>
                <w:b/>
              </w:rPr>
            </w:pPr>
            <w:r w:rsidRPr="00C64FF7">
              <w:rPr>
                <w:b/>
              </w:rPr>
              <w:t xml:space="preserve">Reference page </w:t>
            </w:r>
          </w:p>
          <w:p w:rsidR="00753523" w:rsidRPr="00C64FF7" w:rsidRDefault="00753523" w:rsidP="00753523">
            <w:pPr>
              <w:jc w:val="center"/>
              <w:rPr>
                <w:b/>
              </w:rPr>
            </w:pPr>
            <w:r w:rsidRPr="00C64FF7">
              <w:rPr>
                <w:b/>
              </w:rPr>
              <w:t>in Document</w:t>
            </w:r>
          </w:p>
        </w:tc>
      </w:tr>
      <w:tr w:rsidR="00921B57" w:rsidTr="00D3063B">
        <w:tc>
          <w:tcPr>
            <w:tcW w:w="440" w:type="dxa"/>
          </w:tcPr>
          <w:p w:rsidR="00921B57" w:rsidRDefault="00820DE3" w:rsidP="00FD7D66">
            <w:r>
              <w:t>1</w:t>
            </w:r>
          </w:p>
          <w:p w:rsidR="00820DE3" w:rsidRDefault="00820DE3" w:rsidP="00FD7D66"/>
        </w:tc>
        <w:tc>
          <w:tcPr>
            <w:tcW w:w="6223" w:type="dxa"/>
          </w:tcPr>
          <w:p w:rsidR="00921B57" w:rsidRDefault="007C0CB7" w:rsidP="00FD7D66">
            <w:r w:rsidRPr="007C0CB7">
              <w:t>Clear and comprehensive information for applicants is available in electronic and hard copy format specifying the programme of study and the application processes.</w:t>
            </w:r>
          </w:p>
          <w:p w:rsidR="007C0CB7" w:rsidRDefault="007C0CB7" w:rsidP="00FD7D66"/>
        </w:tc>
        <w:tc>
          <w:tcPr>
            <w:tcW w:w="4961" w:type="dxa"/>
          </w:tcPr>
          <w:p w:rsidR="00921B57" w:rsidRDefault="00921B57" w:rsidP="00FD7D66"/>
        </w:tc>
        <w:tc>
          <w:tcPr>
            <w:tcW w:w="2268" w:type="dxa"/>
          </w:tcPr>
          <w:p w:rsidR="00921B57" w:rsidRDefault="00921B57" w:rsidP="00FD7D66"/>
        </w:tc>
      </w:tr>
      <w:tr w:rsidR="00921B57" w:rsidTr="00D3063B">
        <w:tc>
          <w:tcPr>
            <w:tcW w:w="440" w:type="dxa"/>
          </w:tcPr>
          <w:p w:rsidR="00921B57" w:rsidRDefault="00820DE3" w:rsidP="00FD7D66">
            <w:r>
              <w:t>2</w:t>
            </w:r>
          </w:p>
          <w:p w:rsidR="00820DE3" w:rsidRDefault="00820DE3" w:rsidP="00FD7D66"/>
        </w:tc>
        <w:tc>
          <w:tcPr>
            <w:tcW w:w="6223" w:type="dxa"/>
          </w:tcPr>
          <w:p w:rsidR="00921B57" w:rsidRDefault="007C0CB7" w:rsidP="00FD7D66">
            <w:r w:rsidRPr="007C0CB7">
              <w:t>Applicants for Nursing must specify one of the four divisions of the Nursing Register at point of entry – General, Children’s/General Integrated, Intellectual Disability or Psychiatric.</w:t>
            </w:r>
          </w:p>
          <w:p w:rsidR="007C0CB7" w:rsidRDefault="007C0CB7" w:rsidP="00FD7D66"/>
        </w:tc>
        <w:tc>
          <w:tcPr>
            <w:tcW w:w="4961" w:type="dxa"/>
          </w:tcPr>
          <w:p w:rsidR="00921B57" w:rsidRDefault="00921B57" w:rsidP="00FD7D66"/>
        </w:tc>
        <w:tc>
          <w:tcPr>
            <w:tcW w:w="2268" w:type="dxa"/>
          </w:tcPr>
          <w:p w:rsidR="00921B57" w:rsidRDefault="00921B57" w:rsidP="00FD7D66"/>
        </w:tc>
      </w:tr>
      <w:tr w:rsidR="00921B57" w:rsidTr="00D3063B">
        <w:tc>
          <w:tcPr>
            <w:tcW w:w="440" w:type="dxa"/>
          </w:tcPr>
          <w:p w:rsidR="00921B57" w:rsidRDefault="00820DE3" w:rsidP="009B407A">
            <w:r>
              <w:t>3</w:t>
            </w:r>
          </w:p>
          <w:p w:rsidR="00820DE3" w:rsidRDefault="00820DE3" w:rsidP="009B407A"/>
        </w:tc>
        <w:tc>
          <w:tcPr>
            <w:tcW w:w="6223" w:type="dxa"/>
          </w:tcPr>
          <w:p w:rsidR="00921B57" w:rsidRDefault="007C0CB7" w:rsidP="009B407A">
            <w:r w:rsidRPr="007C0CB7">
              <w:t>Information clearly specifies entry and programmes requirements in regard to Garda vetting, health screening, vaccinations, occupational health and affidavits or legal declarations</w:t>
            </w:r>
          </w:p>
          <w:p w:rsidR="007C0CB7" w:rsidRDefault="007C0CB7" w:rsidP="009B407A"/>
        </w:tc>
        <w:tc>
          <w:tcPr>
            <w:tcW w:w="4961" w:type="dxa"/>
          </w:tcPr>
          <w:p w:rsidR="00921B57" w:rsidRDefault="00921B57" w:rsidP="009B407A"/>
        </w:tc>
        <w:tc>
          <w:tcPr>
            <w:tcW w:w="2268" w:type="dxa"/>
          </w:tcPr>
          <w:p w:rsidR="00921B57" w:rsidRDefault="00921B57" w:rsidP="009B407A"/>
        </w:tc>
      </w:tr>
      <w:tr w:rsidR="00921B57" w:rsidTr="00D3063B">
        <w:tc>
          <w:tcPr>
            <w:tcW w:w="440" w:type="dxa"/>
          </w:tcPr>
          <w:p w:rsidR="00921B57" w:rsidRDefault="00820DE3" w:rsidP="009B407A">
            <w:r>
              <w:t>4</w:t>
            </w:r>
          </w:p>
          <w:p w:rsidR="00820DE3" w:rsidRDefault="00820DE3" w:rsidP="009B407A"/>
          <w:p w:rsidR="00820DE3" w:rsidRDefault="00820DE3" w:rsidP="009B407A"/>
        </w:tc>
        <w:tc>
          <w:tcPr>
            <w:tcW w:w="6223" w:type="dxa"/>
          </w:tcPr>
          <w:p w:rsidR="00921B57" w:rsidRDefault="007C0CB7" w:rsidP="009B407A">
            <w:r w:rsidRPr="007C0CB7">
              <w:t>The mechanism for student admission to the educational programme ensures that the stated entry requirements are met in accordance with institutional policy on equal opportunities for applicants and students</w:t>
            </w:r>
            <w:r w:rsidR="00627A45">
              <w:t xml:space="preserve"> </w:t>
            </w:r>
            <w:r w:rsidR="00627A45">
              <w:rPr>
                <w:vertAlign w:val="superscript"/>
              </w:rPr>
              <w:t>42</w:t>
            </w:r>
            <w:r w:rsidRPr="007C0CB7">
              <w:t>.</w:t>
            </w:r>
          </w:p>
          <w:p w:rsidR="007C0CB7" w:rsidRDefault="007C0CB7" w:rsidP="009B407A"/>
        </w:tc>
        <w:tc>
          <w:tcPr>
            <w:tcW w:w="4961" w:type="dxa"/>
          </w:tcPr>
          <w:p w:rsidR="00921B57" w:rsidRDefault="00921B57" w:rsidP="009B407A"/>
        </w:tc>
        <w:tc>
          <w:tcPr>
            <w:tcW w:w="2268" w:type="dxa"/>
          </w:tcPr>
          <w:p w:rsidR="00921B57" w:rsidRDefault="00921B57" w:rsidP="009B407A"/>
        </w:tc>
      </w:tr>
      <w:tr w:rsidR="00921B57" w:rsidTr="00D3063B">
        <w:tc>
          <w:tcPr>
            <w:tcW w:w="440" w:type="dxa"/>
          </w:tcPr>
          <w:p w:rsidR="00921B57" w:rsidRDefault="00820DE3" w:rsidP="009B407A">
            <w:r>
              <w:t>5</w:t>
            </w:r>
          </w:p>
          <w:p w:rsidR="00820DE3" w:rsidRDefault="00820DE3" w:rsidP="009B407A"/>
        </w:tc>
        <w:tc>
          <w:tcPr>
            <w:tcW w:w="6223" w:type="dxa"/>
          </w:tcPr>
          <w:p w:rsidR="007C0CB7" w:rsidRDefault="007C0CB7" w:rsidP="009E3A56">
            <w:r w:rsidRPr="007C0CB7">
              <w:t>Flexible modes of entry - for example Mature Students, FETAC, ACCESS, graduate entry - and clear procedures for Approval of Prior Learning (APL) are specified and have been approved by NMBI.</w:t>
            </w:r>
          </w:p>
        </w:tc>
        <w:tc>
          <w:tcPr>
            <w:tcW w:w="4961" w:type="dxa"/>
          </w:tcPr>
          <w:p w:rsidR="00921B57" w:rsidRDefault="00921B57" w:rsidP="009B407A"/>
        </w:tc>
        <w:tc>
          <w:tcPr>
            <w:tcW w:w="2268" w:type="dxa"/>
          </w:tcPr>
          <w:p w:rsidR="00921B57" w:rsidRDefault="00921B57" w:rsidP="009B407A"/>
        </w:tc>
      </w:tr>
      <w:tr w:rsidR="00921B57" w:rsidTr="00D3063B">
        <w:tc>
          <w:tcPr>
            <w:tcW w:w="440" w:type="dxa"/>
          </w:tcPr>
          <w:p w:rsidR="00921B57" w:rsidRDefault="00820DE3" w:rsidP="00F27E82">
            <w:r>
              <w:t>6</w:t>
            </w:r>
          </w:p>
          <w:p w:rsidR="00820DE3" w:rsidRDefault="00820DE3" w:rsidP="00F27E82"/>
        </w:tc>
        <w:tc>
          <w:tcPr>
            <w:tcW w:w="6223" w:type="dxa"/>
          </w:tcPr>
          <w:p w:rsidR="00921B57" w:rsidRDefault="007C0CB7" w:rsidP="009B407A">
            <w:r w:rsidRPr="007C0CB7">
              <w:t>Information relating to the collection, analysis and use of relevant information on admissions, discontinuation, transfer, non-completion, progression and graduation demonstrates the HEI’s adherence to data protection requirements.</w:t>
            </w:r>
          </w:p>
          <w:p w:rsidR="007C0CB7" w:rsidRDefault="007C0CB7" w:rsidP="009B407A"/>
        </w:tc>
        <w:tc>
          <w:tcPr>
            <w:tcW w:w="4961" w:type="dxa"/>
          </w:tcPr>
          <w:p w:rsidR="00921B57" w:rsidRDefault="00921B57" w:rsidP="009B407A"/>
        </w:tc>
        <w:tc>
          <w:tcPr>
            <w:tcW w:w="2268" w:type="dxa"/>
          </w:tcPr>
          <w:p w:rsidR="00921B57" w:rsidRDefault="00921B57" w:rsidP="009B407A"/>
        </w:tc>
      </w:tr>
      <w:tr w:rsidR="00921B57" w:rsidTr="00D3063B">
        <w:tc>
          <w:tcPr>
            <w:tcW w:w="440" w:type="dxa"/>
          </w:tcPr>
          <w:p w:rsidR="00921B57" w:rsidRDefault="00820DE3" w:rsidP="00F27E82">
            <w:r>
              <w:t>7</w:t>
            </w:r>
          </w:p>
          <w:p w:rsidR="00820DE3" w:rsidRDefault="00820DE3" w:rsidP="00F27E82"/>
        </w:tc>
        <w:tc>
          <w:tcPr>
            <w:tcW w:w="6223" w:type="dxa"/>
          </w:tcPr>
          <w:p w:rsidR="00921B57" w:rsidRDefault="007C0CB7" w:rsidP="009B407A">
            <w:r w:rsidRPr="007C0CB7">
              <w:t>The conditions for students’ continuing progression and successful completion of the programme are explicit and are made known, in writing, to students at the beginning of the programme.</w:t>
            </w:r>
          </w:p>
          <w:p w:rsidR="007C0CB7" w:rsidRDefault="007C0CB7" w:rsidP="009B407A"/>
        </w:tc>
        <w:tc>
          <w:tcPr>
            <w:tcW w:w="4961" w:type="dxa"/>
          </w:tcPr>
          <w:p w:rsidR="00921B57" w:rsidRDefault="00921B57" w:rsidP="009B407A"/>
        </w:tc>
        <w:tc>
          <w:tcPr>
            <w:tcW w:w="2268" w:type="dxa"/>
          </w:tcPr>
          <w:p w:rsidR="00921B57" w:rsidRDefault="00921B57" w:rsidP="009B407A"/>
        </w:tc>
      </w:tr>
      <w:tr w:rsidR="00921B57" w:rsidTr="00D3063B">
        <w:tc>
          <w:tcPr>
            <w:tcW w:w="440" w:type="dxa"/>
          </w:tcPr>
          <w:p w:rsidR="00921B57" w:rsidRDefault="00820DE3" w:rsidP="00F27E82">
            <w:r>
              <w:t>8</w:t>
            </w:r>
          </w:p>
          <w:p w:rsidR="00820DE3" w:rsidRDefault="00820DE3" w:rsidP="00F27E82"/>
        </w:tc>
        <w:tc>
          <w:tcPr>
            <w:tcW w:w="6223" w:type="dxa"/>
          </w:tcPr>
          <w:p w:rsidR="00921B57" w:rsidRDefault="007C0CB7" w:rsidP="009B407A">
            <w:r w:rsidRPr="007C0CB7">
              <w:t>The mechanism and conditions for students exiting the educational programme before completion are explicit.</w:t>
            </w:r>
          </w:p>
          <w:p w:rsidR="007C0CB7" w:rsidRDefault="007C0CB7" w:rsidP="009B407A"/>
        </w:tc>
        <w:tc>
          <w:tcPr>
            <w:tcW w:w="4961" w:type="dxa"/>
          </w:tcPr>
          <w:p w:rsidR="00921B57" w:rsidRDefault="00921B57" w:rsidP="009B407A"/>
        </w:tc>
        <w:tc>
          <w:tcPr>
            <w:tcW w:w="2268" w:type="dxa"/>
          </w:tcPr>
          <w:p w:rsidR="00921B57" w:rsidRDefault="00921B57" w:rsidP="009B407A"/>
        </w:tc>
      </w:tr>
      <w:tr w:rsidR="00921B57" w:rsidTr="00D3063B">
        <w:tc>
          <w:tcPr>
            <w:tcW w:w="440" w:type="dxa"/>
          </w:tcPr>
          <w:p w:rsidR="00921B57" w:rsidRDefault="00820DE3" w:rsidP="00F27E82">
            <w:r>
              <w:t>9</w:t>
            </w:r>
          </w:p>
          <w:p w:rsidR="00820DE3" w:rsidRDefault="00820DE3" w:rsidP="00F27E82"/>
        </w:tc>
        <w:tc>
          <w:tcPr>
            <w:tcW w:w="6223" w:type="dxa"/>
          </w:tcPr>
          <w:p w:rsidR="00921B57" w:rsidRDefault="007C0CB7" w:rsidP="009B407A">
            <w:r w:rsidRPr="007C0CB7">
              <w:t>The Nursing and Midwifery Board of Ireland (Registration Department) is notified in writing of any student who exits the programme prior to successful completion of the programme.</w:t>
            </w:r>
          </w:p>
          <w:p w:rsidR="007C0CB7" w:rsidRDefault="007C0CB7" w:rsidP="009B407A"/>
        </w:tc>
        <w:tc>
          <w:tcPr>
            <w:tcW w:w="4961" w:type="dxa"/>
          </w:tcPr>
          <w:p w:rsidR="00921B57" w:rsidRDefault="00921B57" w:rsidP="009B407A"/>
        </w:tc>
        <w:tc>
          <w:tcPr>
            <w:tcW w:w="2268" w:type="dxa"/>
          </w:tcPr>
          <w:p w:rsidR="00921B57" w:rsidRDefault="00921B57" w:rsidP="009B407A"/>
        </w:tc>
      </w:tr>
      <w:tr w:rsidR="00921B57" w:rsidTr="00D3063B">
        <w:tc>
          <w:tcPr>
            <w:tcW w:w="440" w:type="dxa"/>
          </w:tcPr>
          <w:p w:rsidR="00921B57" w:rsidRDefault="00820DE3" w:rsidP="00F27E82">
            <w:r>
              <w:t>10</w:t>
            </w:r>
          </w:p>
          <w:p w:rsidR="00820DE3" w:rsidRDefault="00820DE3" w:rsidP="00F27E82"/>
        </w:tc>
        <w:tc>
          <w:tcPr>
            <w:tcW w:w="6223" w:type="dxa"/>
          </w:tcPr>
          <w:p w:rsidR="00921B57" w:rsidRDefault="00890A2C" w:rsidP="009B407A">
            <w:r w:rsidRPr="00890A2C">
              <w:t xml:space="preserve">Following any </w:t>
            </w:r>
            <w:proofErr w:type="gramStart"/>
            <w:r w:rsidRPr="00890A2C">
              <w:t>interruption</w:t>
            </w:r>
            <w:r w:rsidR="00627A45">
              <w:rPr>
                <w:vertAlign w:val="superscript"/>
              </w:rPr>
              <w:t xml:space="preserve">43 </w:t>
            </w:r>
            <w:r w:rsidRPr="00890A2C">
              <w:t xml:space="preserve"> in</w:t>
            </w:r>
            <w:proofErr w:type="gramEnd"/>
            <w:r w:rsidRPr="00890A2C">
              <w:t xml:space="preserve"> the educational programme the partnership institutions ensure that the student meets the educational programme requirements as identified by the Nursing and Midwifery Board of Ireland.</w:t>
            </w:r>
          </w:p>
          <w:p w:rsidR="00890A2C" w:rsidRDefault="00890A2C" w:rsidP="009B407A"/>
        </w:tc>
        <w:tc>
          <w:tcPr>
            <w:tcW w:w="4961" w:type="dxa"/>
          </w:tcPr>
          <w:p w:rsidR="00921B57" w:rsidRDefault="00921B57" w:rsidP="009B407A"/>
        </w:tc>
        <w:tc>
          <w:tcPr>
            <w:tcW w:w="2268" w:type="dxa"/>
          </w:tcPr>
          <w:p w:rsidR="00921B57" w:rsidRDefault="00921B57" w:rsidP="009B407A"/>
        </w:tc>
      </w:tr>
      <w:tr w:rsidR="00921B57" w:rsidTr="00D3063B">
        <w:tc>
          <w:tcPr>
            <w:tcW w:w="440" w:type="dxa"/>
          </w:tcPr>
          <w:p w:rsidR="00921B57" w:rsidRDefault="00890A2C" w:rsidP="00F27E82">
            <w:r>
              <w:t>11</w:t>
            </w:r>
          </w:p>
        </w:tc>
        <w:tc>
          <w:tcPr>
            <w:tcW w:w="6223" w:type="dxa"/>
          </w:tcPr>
          <w:p w:rsidR="00921B57" w:rsidRDefault="00890A2C" w:rsidP="009B407A">
            <w:r w:rsidRPr="00890A2C">
              <w:t>Clear mechanisms for student transfer, withdrawal, discontinuation and eligibility for exit awards are specified.</w:t>
            </w:r>
          </w:p>
          <w:p w:rsidR="00890A2C" w:rsidRDefault="00890A2C" w:rsidP="009B407A"/>
        </w:tc>
        <w:tc>
          <w:tcPr>
            <w:tcW w:w="4961" w:type="dxa"/>
          </w:tcPr>
          <w:p w:rsidR="00921B57" w:rsidRDefault="00921B57" w:rsidP="009B407A"/>
        </w:tc>
        <w:tc>
          <w:tcPr>
            <w:tcW w:w="2268" w:type="dxa"/>
          </w:tcPr>
          <w:p w:rsidR="00921B57" w:rsidRDefault="00921B57" w:rsidP="009B407A"/>
        </w:tc>
      </w:tr>
      <w:tr w:rsidR="00921B57" w:rsidTr="00D3063B">
        <w:tc>
          <w:tcPr>
            <w:tcW w:w="440" w:type="dxa"/>
          </w:tcPr>
          <w:p w:rsidR="00921B57" w:rsidRDefault="00890A2C" w:rsidP="00F27E82">
            <w:r>
              <w:t>12</w:t>
            </w:r>
          </w:p>
        </w:tc>
        <w:tc>
          <w:tcPr>
            <w:tcW w:w="6223" w:type="dxa"/>
          </w:tcPr>
          <w:p w:rsidR="00921B57" w:rsidRDefault="00890A2C" w:rsidP="009B407A">
            <w:r w:rsidRPr="00890A2C">
              <w:t>Student transfer arrangements ensure that the full requirements of the educational programme leading to registration will be completed in a collaborative manner between HEIs.</w:t>
            </w:r>
          </w:p>
          <w:p w:rsidR="00627A45" w:rsidRDefault="00627A45" w:rsidP="009B407A"/>
        </w:tc>
        <w:tc>
          <w:tcPr>
            <w:tcW w:w="4961" w:type="dxa"/>
          </w:tcPr>
          <w:p w:rsidR="00921B57" w:rsidRDefault="00921B57" w:rsidP="009B407A"/>
        </w:tc>
        <w:tc>
          <w:tcPr>
            <w:tcW w:w="2268" w:type="dxa"/>
          </w:tcPr>
          <w:p w:rsidR="00921B57" w:rsidRDefault="00921B57" w:rsidP="009B407A"/>
        </w:tc>
      </w:tr>
      <w:tr w:rsidR="00921B57" w:rsidTr="00D3063B">
        <w:tc>
          <w:tcPr>
            <w:tcW w:w="440" w:type="dxa"/>
          </w:tcPr>
          <w:p w:rsidR="00921B57" w:rsidRDefault="009D16CC" w:rsidP="00F27E82">
            <w:r>
              <w:t>13</w:t>
            </w:r>
          </w:p>
        </w:tc>
        <w:tc>
          <w:tcPr>
            <w:tcW w:w="6223" w:type="dxa"/>
          </w:tcPr>
          <w:p w:rsidR="00921B57" w:rsidRDefault="009D16CC" w:rsidP="009B407A">
            <w:r w:rsidRPr="009D16CC">
              <w:t>The mechanism whereby records are maintained, demonstrate that each student meets the declared standards of learning outcomes in both the clinical and theoretical components of the programme, and is eligible for registration</w:t>
            </w:r>
            <w:r w:rsidR="00627A45">
              <w:t>.</w:t>
            </w:r>
          </w:p>
          <w:p w:rsidR="009D16CC" w:rsidRDefault="009D16CC" w:rsidP="009B407A"/>
        </w:tc>
        <w:tc>
          <w:tcPr>
            <w:tcW w:w="4961" w:type="dxa"/>
          </w:tcPr>
          <w:p w:rsidR="00921B57" w:rsidRDefault="00921B57" w:rsidP="009B407A"/>
        </w:tc>
        <w:tc>
          <w:tcPr>
            <w:tcW w:w="2268" w:type="dxa"/>
          </w:tcPr>
          <w:p w:rsidR="00921B57" w:rsidRDefault="00921B57" w:rsidP="009B407A"/>
        </w:tc>
      </w:tr>
      <w:tr w:rsidR="00921B57" w:rsidTr="00D3063B">
        <w:tc>
          <w:tcPr>
            <w:tcW w:w="440" w:type="dxa"/>
          </w:tcPr>
          <w:p w:rsidR="00921B57" w:rsidRDefault="009D16CC" w:rsidP="009B407A">
            <w:r>
              <w:t>14</w:t>
            </w:r>
          </w:p>
        </w:tc>
        <w:tc>
          <w:tcPr>
            <w:tcW w:w="6223" w:type="dxa"/>
          </w:tcPr>
          <w:p w:rsidR="00921B57" w:rsidRDefault="009D16CC" w:rsidP="009B407A">
            <w:r w:rsidRPr="009D16CC">
              <w:t>Eligibility to register with the Nursing and Midwifery Board of Ireland is based on successful completion of the programme and the successful achievement of both the theoretical and clinical practice assessments.</w:t>
            </w:r>
          </w:p>
          <w:p w:rsidR="009D16CC" w:rsidRDefault="009D16CC" w:rsidP="009B407A"/>
        </w:tc>
        <w:tc>
          <w:tcPr>
            <w:tcW w:w="4961" w:type="dxa"/>
          </w:tcPr>
          <w:p w:rsidR="00921B57" w:rsidRDefault="00921B57" w:rsidP="009B407A"/>
        </w:tc>
        <w:tc>
          <w:tcPr>
            <w:tcW w:w="2268" w:type="dxa"/>
          </w:tcPr>
          <w:p w:rsidR="00921B57" w:rsidRDefault="00921B57" w:rsidP="009B407A"/>
        </w:tc>
      </w:tr>
      <w:tr w:rsidR="00921B57" w:rsidTr="00D3063B">
        <w:tc>
          <w:tcPr>
            <w:tcW w:w="440" w:type="dxa"/>
          </w:tcPr>
          <w:p w:rsidR="00921B57" w:rsidRDefault="009D16CC" w:rsidP="009B407A">
            <w:r>
              <w:t>15</w:t>
            </w:r>
          </w:p>
        </w:tc>
        <w:tc>
          <w:tcPr>
            <w:tcW w:w="6223" w:type="dxa"/>
          </w:tcPr>
          <w:p w:rsidR="009D16CC" w:rsidRDefault="009D16CC" w:rsidP="009D16CC">
            <w:r>
              <w:t xml:space="preserve">The HEI maintains adequate records on the completion of the programme, the conferment of academic awards, details of attrition, non-completion, transfers and first employment destinations of graduates. </w:t>
            </w:r>
          </w:p>
          <w:p w:rsidR="00921B57" w:rsidRDefault="00921B57" w:rsidP="009D16CC"/>
        </w:tc>
        <w:tc>
          <w:tcPr>
            <w:tcW w:w="4961" w:type="dxa"/>
          </w:tcPr>
          <w:p w:rsidR="00921B57" w:rsidRDefault="00921B57" w:rsidP="009B407A"/>
        </w:tc>
        <w:tc>
          <w:tcPr>
            <w:tcW w:w="2268" w:type="dxa"/>
          </w:tcPr>
          <w:p w:rsidR="00921B57" w:rsidRDefault="00921B57" w:rsidP="009B407A"/>
        </w:tc>
      </w:tr>
    </w:tbl>
    <w:p w:rsidR="00921B57" w:rsidRDefault="00921B57" w:rsidP="00921B57"/>
    <w:p w:rsidR="00810BBA" w:rsidRDefault="00012CFF" w:rsidP="00921B57">
      <w:r w:rsidRPr="00012CFF">
        <w:rPr>
          <w:color w:val="000000" w:themeColor="text1"/>
        </w:rPr>
        <w:t>43</w:t>
      </w:r>
      <w:r>
        <w:rPr>
          <w:color w:val="000000" w:themeColor="text1"/>
        </w:rPr>
        <w:t xml:space="preserve"> Interruption: any leave (other than annual leave and bank holidays) including sick leave. </w:t>
      </w:r>
      <w:proofErr w:type="gramStart"/>
      <w:r>
        <w:rPr>
          <w:color w:val="000000" w:themeColor="text1"/>
        </w:rPr>
        <w:t>maternity</w:t>
      </w:r>
      <w:proofErr w:type="gramEnd"/>
      <w:r>
        <w:rPr>
          <w:color w:val="000000" w:themeColor="text1"/>
        </w:rPr>
        <w:t xml:space="preserve"> leave, force majeure leave, paternity leave, parental leave, compassionate and special leave.</w:t>
      </w:r>
    </w:p>
    <w:p w:rsidR="00012CFF" w:rsidRDefault="00012CFF">
      <w:pPr>
        <w:rPr>
          <w:rFonts w:asciiTheme="majorHAnsi" w:eastAsiaTheme="majorEastAsia" w:hAnsiTheme="majorHAnsi" w:cstheme="majorBidi"/>
          <w:color w:val="2E74B5" w:themeColor="accent1" w:themeShade="BF"/>
          <w:sz w:val="32"/>
          <w:szCs w:val="32"/>
        </w:rPr>
      </w:pPr>
      <w:r>
        <w:br w:type="page"/>
      </w:r>
    </w:p>
    <w:p w:rsidR="00810BBA" w:rsidRDefault="00810BBA" w:rsidP="00810BBA">
      <w:pPr>
        <w:pStyle w:val="Heading1"/>
      </w:pPr>
      <w:r>
        <w:t>3.2.3 Programme Governance and Management</w:t>
      </w:r>
    </w:p>
    <w:p w:rsidR="00F27E82" w:rsidRDefault="00F27E82" w:rsidP="00012CFF">
      <w:pPr>
        <w:jc w:val="both"/>
        <w:rPr>
          <w:b/>
          <w:color w:val="000000" w:themeColor="text1"/>
        </w:rPr>
      </w:pPr>
    </w:p>
    <w:p w:rsidR="00F27E82" w:rsidRDefault="00810BBA" w:rsidP="00012CFF">
      <w:pPr>
        <w:jc w:val="both"/>
        <w:rPr>
          <w:color w:val="000000" w:themeColor="text1"/>
        </w:rPr>
      </w:pPr>
      <w:r w:rsidRPr="00012CFF">
        <w:rPr>
          <w:b/>
          <w:color w:val="000000" w:themeColor="text1"/>
        </w:rPr>
        <w:t>Criterion:</w:t>
      </w:r>
      <w:r w:rsidR="00E543D7" w:rsidRPr="00012CFF">
        <w:rPr>
          <w:color w:val="000000" w:themeColor="text1"/>
        </w:rPr>
        <w:t xml:space="preserve">  </w:t>
      </w:r>
    </w:p>
    <w:p w:rsidR="00810BBA" w:rsidRPr="00012CFF" w:rsidRDefault="00810BBA" w:rsidP="00012CFF">
      <w:pPr>
        <w:jc w:val="both"/>
        <w:rPr>
          <w:color w:val="000000" w:themeColor="text1"/>
        </w:rPr>
      </w:pPr>
      <w:r w:rsidRPr="00012CFF">
        <w:rPr>
          <w:color w:val="000000" w:themeColor="text1"/>
        </w:rPr>
        <w:t>The programme should be managed efficiently and effectively by the HEI in conjunction with a Local Joint Working Group. Membership should be drawn from stakeholders from the Higher Education Institution and Associated Health Care Services. These should include student representatives and key managerial, academic, administrative staff from the HEI and clinical and managerial staff from the AHCS hospital and community services, who are associated with its delivery. The programme should be well organised, with clear managerial, operational governance and reporting structures. Systems for programme evaluation should be robust and transparent.</w:t>
      </w:r>
    </w:p>
    <w:p w:rsidR="00F27E82" w:rsidRDefault="00810BBA" w:rsidP="00012CFF">
      <w:pPr>
        <w:jc w:val="both"/>
        <w:rPr>
          <w:b/>
          <w:color w:val="000000" w:themeColor="text1"/>
        </w:rPr>
      </w:pPr>
      <w:r w:rsidRPr="00012CFF">
        <w:rPr>
          <w:b/>
          <w:color w:val="000000" w:themeColor="text1"/>
        </w:rPr>
        <w:t xml:space="preserve">Standard: </w:t>
      </w:r>
    </w:p>
    <w:p w:rsidR="00810BBA" w:rsidRPr="00012CFF" w:rsidRDefault="00810BBA" w:rsidP="00012CFF">
      <w:pPr>
        <w:jc w:val="both"/>
        <w:rPr>
          <w:b/>
          <w:color w:val="000000" w:themeColor="text1"/>
        </w:rPr>
      </w:pPr>
      <w:r w:rsidRPr="00012CFF">
        <w:rPr>
          <w:b/>
          <w:color w:val="000000" w:themeColor="text1"/>
        </w:rPr>
        <w:t xml:space="preserve">Delivery and development of the programme of study must be co-ordinated through joint Higher Education Institution and Associated Health Care Services governance mechanism, specified in a Memorandum of Understanding, to ensure compliance with NMBI Standards and Requirements and EU directives. </w:t>
      </w:r>
    </w:p>
    <w:tbl>
      <w:tblPr>
        <w:tblStyle w:val="TableGrid"/>
        <w:tblW w:w="13892" w:type="dxa"/>
        <w:tblInd w:w="-601" w:type="dxa"/>
        <w:tblLook w:val="04A0" w:firstRow="1" w:lastRow="0" w:firstColumn="1" w:lastColumn="0" w:noHBand="0" w:noVBand="1"/>
      </w:tblPr>
      <w:tblGrid>
        <w:gridCol w:w="440"/>
        <w:gridCol w:w="6223"/>
        <w:gridCol w:w="4961"/>
        <w:gridCol w:w="2268"/>
      </w:tblGrid>
      <w:tr w:rsidR="00F27E82" w:rsidTr="00D3063B">
        <w:tc>
          <w:tcPr>
            <w:tcW w:w="440" w:type="dxa"/>
          </w:tcPr>
          <w:p w:rsidR="00F27E82" w:rsidRDefault="00F27E82" w:rsidP="009B407A"/>
        </w:tc>
        <w:tc>
          <w:tcPr>
            <w:tcW w:w="6223" w:type="dxa"/>
          </w:tcPr>
          <w:p w:rsidR="00F27E82" w:rsidRPr="00C64FF7" w:rsidRDefault="00F27E82" w:rsidP="009E3A56">
            <w:pPr>
              <w:jc w:val="center"/>
              <w:rPr>
                <w:b/>
              </w:rPr>
            </w:pPr>
            <w:r>
              <w:rPr>
                <w:b/>
              </w:rPr>
              <w:t>Indicators</w:t>
            </w:r>
          </w:p>
        </w:tc>
        <w:tc>
          <w:tcPr>
            <w:tcW w:w="4961" w:type="dxa"/>
          </w:tcPr>
          <w:p w:rsidR="00F27E82" w:rsidRPr="00C64FF7" w:rsidRDefault="00F27E82" w:rsidP="009E3A56">
            <w:pPr>
              <w:jc w:val="center"/>
              <w:rPr>
                <w:b/>
              </w:rPr>
            </w:pPr>
            <w:r w:rsidRPr="00C64FF7">
              <w:rPr>
                <w:b/>
              </w:rPr>
              <w:t>Evidence</w:t>
            </w:r>
          </w:p>
        </w:tc>
        <w:tc>
          <w:tcPr>
            <w:tcW w:w="2268" w:type="dxa"/>
          </w:tcPr>
          <w:p w:rsidR="00F27E82" w:rsidRDefault="00F27E82" w:rsidP="009E3A56">
            <w:pPr>
              <w:jc w:val="center"/>
              <w:rPr>
                <w:b/>
              </w:rPr>
            </w:pPr>
            <w:r w:rsidRPr="00C64FF7">
              <w:rPr>
                <w:b/>
              </w:rPr>
              <w:t xml:space="preserve">Reference page </w:t>
            </w:r>
          </w:p>
          <w:p w:rsidR="00F27E82" w:rsidRPr="00C64FF7" w:rsidRDefault="00F27E82" w:rsidP="009E3A56">
            <w:pPr>
              <w:jc w:val="center"/>
              <w:rPr>
                <w:b/>
              </w:rPr>
            </w:pPr>
            <w:r w:rsidRPr="00C64FF7">
              <w:rPr>
                <w:b/>
              </w:rPr>
              <w:t>in Document</w:t>
            </w:r>
          </w:p>
        </w:tc>
      </w:tr>
      <w:tr w:rsidR="00921B57" w:rsidTr="00D3063B">
        <w:tc>
          <w:tcPr>
            <w:tcW w:w="440" w:type="dxa"/>
          </w:tcPr>
          <w:p w:rsidR="00921B57" w:rsidRDefault="00810BBA" w:rsidP="009B407A">
            <w:r>
              <w:t>1</w:t>
            </w:r>
          </w:p>
        </w:tc>
        <w:tc>
          <w:tcPr>
            <w:tcW w:w="6223" w:type="dxa"/>
          </w:tcPr>
          <w:p w:rsidR="00921B57" w:rsidRDefault="00810BBA" w:rsidP="009B407A">
            <w:r w:rsidRPr="00810BBA">
              <w:t xml:space="preserve">There is a formal Memorandum of Understanding (MOU) between each HEI and its AHCP(s) describing mutually agreed planned approaches which the parties will adopt and support in order to ensure the programme can reach a successful conclusion.   </w:t>
            </w:r>
          </w:p>
          <w:p w:rsidR="00810BBA" w:rsidRDefault="00810BBA" w:rsidP="009B407A"/>
        </w:tc>
        <w:tc>
          <w:tcPr>
            <w:tcW w:w="4961" w:type="dxa"/>
          </w:tcPr>
          <w:p w:rsidR="00921B57" w:rsidRDefault="00921B57" w:rsidP="009B407A"/>
        </w:tc>
        <w:tc>
          <w:tcPr>
            <w:tcW w:w="2268" w:type="dxa"/>
          </w:tcPr>
          <w:p w:rsidR="00921B57" w:rsidRDefault="00921B57" w:rsidP="009B407A"/>
        </w:tc>
      </w:tr>
      <w:tr w:rsidR="00921B57" w:rsidTr="00D3063B">
        <w:tc>
          <w:tcPr>
            <w:tcW w:w="440" w:type="dxa"/>
          </w:tcPr>
          <w:p w:rsidR="00921B57" w:rsidRDefault="00810BBA" w:rsidP="009B407A">
            <w:r>
              <w:t>2</w:t>
            </w:r>
          </w:p>
        </w:tc>
        <w:tc>
          <w:tcPr>
            <w:tcW w:w="6223" w:type="dxa"/>
          </w:tcPr>
          <w:p w:rsidR="00921B57" w:rsidRDefault="00810BBA" w:rsidP="009B407A">
            <w:r w:rsidRPr="00810BBA">
              <w:t>The MOU describes the process each party commits to develop that ensures all stakeholders have a voice and empowers relevant staff to maintain, improve and support students and their learning. MOU’s can be revisited five-yearly.</w:t>
            </w:r>
          </w:p>
          <w:p w:rsidR="00810BBA" w:rsidRDefault="00810BBA" w:rsidP="009B407A"/>
        </w:tc>
        <w:tc>
          <w:tcPr>
            <w:tcW w:w="4961" w:type="dxa"/>
          </w:tcPr>
          <w:p w:rsidR="00921B57" w:rsidRDefault="00921B57" w:rsidP="009B407A"/>
        </w:tc>
        <w:tc>
          <w:tcPr>
            <w:tcW w:w="2268" w:type="dxa"/>
          </w:tcPr>
          <w:p w:rsidR="00921B57" w:rsidRDefault="00921B57" w:rsidP="009B407A"/>
        </w:tc>
      </w:tr>
      <w:tr w:rsidR="00921B57" w:rsidTr="00D3063B">
        <w:tc>
          <w:tcPr>
            <w:tcW w:w="440" w:type="dxa"/>
          </w:tcPr>
          <w:p w:rsidR="00921B57" w:rsidRDefault="00810BBA" w:rsidP="009B407A">
            <w:r>
              <w:t>3</w:t>
            </w:r>
          </w:p>
        </w:tc>
        <w:tc>
          <w:tcPr>
            <w:tcW w:w="6223" w:type="dxa"/>
          </w:tcPr>
          <w:p w:rsidR="00921B57" w:rsidRDefault="00810BBA" w:rsidP="009B407A">
            <w:r w:rsidRPr="00810BBA">
              <w:t>The programme of study adheres to all statutory and regulatory requirements of the Nursing and Midwifery Board of Ireland and to the current European Directives on Nursing.</w:t>
            </w:r>
          </w:p>
          <w:p w:rsidR="00810BBA" w:rsidRDefault="00810BBA" w:rsidP="009B407A"/>
        </w:tc>
        <w:tc>
          <w:tcPr>
            <w:tcW w:w="4961" w:type="dxa"/>
          </w:tcPr>
          <w:p w:rsidR="00921B57" w:rsidRDefault="00921B57" w:rsidP="009B407A"/>
        </w:tc>
        <w:tc>
          <w:tcPr>
            <w:tcW w:w="2268" w:type="dxa"/>
          </w:tcPr>
          <w:p w:rsidR="00921B57" w:rsidRDefault="00921B57" w:rsidP="009B407A"/>
        </w:tc>
      </w:tr>
      <w:tr w:rsidR="00921B57" w:rsidTr="00D3063B">
        <w:tc>
          <w:tcPr>
            <w:tcW w:w="440" w:type="dxa"/>
          </w:tcPr>
          <w:p w:rsidR="00921B57" w:rsidRDefault="00810BBA" w:rsidP="009B407A">
            <w:r>
              <w:t>4</w:t>
            </w:r>
          </w:p>
        </w:tc>
        <w:tc>
          <w:tcPr>
            <w:tcW w:w="6223" w:type="dxa"/>
          </w:tcPr>
          <w:p w:rsidR="00921B57" w:rsidRDefault="00C7551B" w:rsidP="009B407A">
            <w:r w:rsidRPr="00C7551B">
              <w:t>Major institutional review of the effectiveness of the programme of study occurs on a five yearly basis</w:t>
            </w:r>
          </w:p>
          <w:p w:rsidR="00C7551B" w:rsidRDefault="00C7551B" w:rsidP="009B407A"/>
        </w:tc>
        <w:tc>
          <w:tcPr>
            <w:tcW w:w="4961" w:type="dxa"/>
          </w:tcPr>
          <w:p w:rsidR="00921B57" w:rsidRDefault="00921B57" w:rsidP="009B407A"/>
        </w:tc>
        <w:tc>
          <w:tcPr>
            <w:tcW w:w="2268" w:type="dxa"/>
          </w:tcPr>
          <w:p w:rsidR="00921B57" w:rsidRDefault="00921B57" w:rsidP="009B407A"/>
        </w:tc>
      </w:tr>
      <w:tr w:rsidR="00921B57" w:rsidTr="00D3063B">
        <w:tc>
          <w:tcPr>
            <w:tcW w:w="440" w:type="dxa"/>
          </w:tcPr>
          <w:p w:rsidR="00921B57" w:rsidRDefault="00810BBA" w:rsidP="009B407A">
            <w:r>
              <w:t>5</w:t>
            </w:r>
          </w:p>
        </w:tc>
        <w:tc>
          <w:tcPr>
            <w:tcW w:w="6223" w:type="dxa"/>
          </w:tcPr>
          <w:p w:rsidR="00012CFF" w:rsidRDefault="00C7551B" w:rsidP="009B407A">
            <w:r w:rsidRPr="00C7551B">
              <w:t>Modules, curriculum, indicative content, marks and standards / HEI academic regulations and programme delivery are monitored annually with the support of appropriate External Examiners’ reports.</w:t>
            </w:r>
          </w:p>
          <w:p w:rsidR="00C7551B" w:rsidRDefault="00C7551B" w:rsidP="009B407A"/>
        </w:tc>
        <w:tc>
          <w:tcPr>
            <w:tcW w:w="4961" w:type="dxa"/>
          </w:tcPr>
          <w:p w:rsidR="00921B57" w:rsidRDefault="00921B57" w:rsidP="009B407A"/>
        </w:tc>
        <w:tc>
          <w:tcPr>
            <w:tcW w:w="2268" w:type="dxa"/>
          </w:tcPr>
          <w:p w:rsidR="00921B57" w:rsidRDefault="00921B57" w:rsidP="009B407A"/>
        </w:tc>
      </w:tr>
      <w:tr w:rsidR="00921B57" w:rsidTr="00D3063B">
        <w:tc>
          <w:tcPr>
            <w:tcW w:w="440" w:type="dxa"/>
          </w:tcPr>
          <w:p w:rsidR="00921B57" w:rsidRDefault="00810BBA" w:rsidP="009B407A">
            <w:r>
              <w:t>6</w:t>
            </w:r>
          </w:p>
        </w:tc>
        <w:tc>
          <w:tcPr>
            <w:tcW w:w="6223" w:type="dxa"/>
          </w:tcPr>
          <w:p w:rsidR="00921B57" w:rsidRDefault="00B0794F" w:rsidP="009B407A">
            <w:r w:rsidRPr="00B0794F">
              <w:t>An annual report on the programme of study is provided to NMBI in a timely manner and in accordance with its requirements by the programme coordinator.</w:t>
            </w:r>
          </w:p>
          <w:p w:rsidR="00B0794F" w:rsidRDefault="00B0794F" w:rsidP="009B407A"/>
        </w:tc>
        <w:tc>
          <w:tcPr>
            <w:tcW w:w="4961" w:type="dxa"/>
          </w:tcPr>
          <w:p w:rsidR="00921B57" w:rsidRDefault="00921B57" w:rsidP="009B407A"/>
        </w:tc>
        <w:tc>
          <w:tcPr>
            <w:tcW w:w="2268" w:type="dxa"/>
          </w:tcPr>
          <w:p w:rsidR="00921B57" w:rsidRDefault="00921B57" w:rsidP="009B407A"/>
        </w:tc>
      </w:tr>
      <w:tr w:rsidR="00921B57" w:rsidTr="00D3063B">
        <w:tc>
          <w:tcPr>
            <w:tcW w:w="440" w:type="dxa"/>
          </w:tcPr>
          <w:p w:rsidR="00921B57" w:rsidRDefault="00810BBA" w:rsidP="009B407A">
            <w:r>
              <w:t>7</w:t>
            </w:r>
          </w:p>
        </w:tc>
        <w:tc>
          <w:tcPr>
            <w:tcW w:w="6223" w:type="dxa"/>
          </w:tcPr>
          <w:p w:rsidR="00921B57" w:rsidRDefault="00B0794F" w:rsidP="009B407A">
            <w:r w:rsidRPr="00B0794F">
              <w:t>Processes for continuous quality improvement of the programme of study are robust and transparent.</w:t>
            </w:r>
          </w:p>
          <w:p w:rsidR="00B0794F" w:rsidRDefault="00B0794F" w:rsidP="009B407A"/>
        </w:tc>
        <w:tc>
          <w:tcPr>
            <w:tcW w:w="4961" w:type="dxa"/>
          </w:tcPr>
          <w:p w:rsidR="00921B57" w:rsidRDefault="00921B57" w:rsidP="009B407A"/>
        </w:tc>
        <w:tc>
          <w:tcPr>
            <w:tcW w:w="2268" w:type="dxa"/>
          </w:tcPr>
          <w:p w:rsidR="00921B57" w:rsidRDefault="00921B57" w:rsidP="009B407A"/>
        </w:tc>
      </w:tr>
      <w:tr w:rsidR="00921B57" w:rsidTr="00D3063B">
        <w:tc>
          <w:tcPr>
            <w:tcW w:w="440" w:type="dxa"/>
          </w:tcPr>
          <w:p w:rsidR="00921B57" w:rsidRDefault="00810BBA" w:rsidP="009B407A">
            <w:r>
              <w:t>8</w:t>
            </w:r>
          </w:p>
        </w:tc>
        <w:tc>
          <w:tcPr>
            <w:tcW w:w="6223" w:type="dxa"/>
          </w:tcPr>
          <w:p w:rsidR="00921B57" w:rsidRDefault="00B0794F" w:rsidP="009B407A">
            <w:r w:rsidRPr="00B0794F">
              <w:t>For external practice placements outside of Ireland, HEIs must have formal arrangements in place with host practice institutions that comply with NMBI regulations and EU directives</w:t>
            </w:r>
          </w:p>
          <w:p w:rsidR="00B0794F" w:rsidRDefault="00B0794F" w:rsidP="009B407A"/>
        </w:tc>
        <w:tc>
          <w:tcPr>
            <w:tcW w:w="4961" w:type="dxa"/>
          </w:tcPr>
          <w:p w:rsidR="00921B57" w:rsidRDefault="00921B57" w:rsidP="009B407A"/>
        </w:tc>
        <w:tc>
          <w:tcPr>
            <w:tcW w:w="2268" w:type="dxa"/>
          </w:tcPr>
          <w:p w:rsidR="00921B57" w:rsidRDefault="00921B57" w:rsidP="009B407A"/>
        </w:tc>
      </w:tr>
      <w:tr w:rsidR="00921B57" w:rsidTr="00D3063B">
        <w:tc>
          <w:tcPr>
            <w:tcW w:w="440" w:type="dxa"/>
          </w:tcPr>
          <w:p w:rsidR="00921B57" w:rsidRDefault="00810BBA" w:rsidP="009B407A">
            <w:r>
              <w:t>9</w:t>
            </w:r>
          </w:p>
        </w:tc>
        <w:tc>
          <w:tcPr>
            <w:tcW w:w="6223" w:type="dxa"/>
          </w:tcPr>
          <w:p w:rsidR="00921B57" w:rsidRDefault="00086388" w:rsidP="009B407A">
            <w:r w:rsidRPr="00086388">
              <w:t>The Higher Education Institution and the Associated Health Care Provider(s) keep appropriate records including records of professional and academic awards conferred.</w:t>
            </w:r>
          </w:p>
          <w:p w:rsidR="00086388" w:rsidRDefault="00086388" w:rsidP="009B407A"/>
        </w:tc>
        <w:tc>
          <w:tcPr>
            <w:tcW w:w="4961" w:type="dxa"/>
          </w:tcPr>
          <w:p w:rsidR="00921B57" w:rsidRDefault="00921B57" w:rsidP="009B407A"/>
        </w:tc>
        <w:tc>
          <w:tcPr>
            <w:tcW w:w="2268" w:type="dxa"/>
          </w:tcPr>
          <w:p w:rsidR="00921B57" w:rsidRDefault="00921B57" w:rsidP="009B407A"/>
        </w:tc>
      </w:tr>
      <w:tr w:rsidR="00921B57" w:rsidTr="00D3063B">
        <w:tc>
          <w:tcPr>
            <w:tcW w:w="440" w:type="dxa"/>
          </w:tcPr>
          <w:p w:rsidR="00921B57" w:rsidRDefault="00810BBA" w:rsidP="009B407A">
            <w:r>
              <w:t>10</w:t>
            </w:r>
          </w:p>
        </w:tc>
        <w:tc>
          <w:tcPr>
            <w:tcW w:w="6223" w:type="dxa"/>
          </w:tcPr>
          <w:p w:rsidR="00921B57" w:rsidRDefault="00086388" w:rsidP="009B407A">
            <w:r w:rsidRPr="00086388">
              <w:t>The process of monitoring and responding to student attendance in respect of the theoretical and clinical practice experience requirements is declared.</w:t>
            </w:r>
          </w:p>
          <w:p w:rsidR="00086388" w:rsidRDefault="00086388" w:rsidP="009B407A"/>
        </w:tc>
        <w:tc>
          <w:tcPr>
            <w:tcW w:w="4961" w:type="dxa"/>
          </w:tcPr>
          <w:p w:rsidR="00921B57" w:rsidRDefault="00921B57" w:rsidP="009B407A"/>
        </w:tc>
        <w:tc>
          <w:tcPr>
            <w:tcW w:w="2268" w:type="dxa"/>
          </w:tcPr>
          <w:p w:rsidR="00921B57" w:rsidRDefault="00921B57" w:rsidP="009B407A"/>
        </w:tc>
      </w:tr>
      <w:tr w:rsidR="00921B57" w:rsidTr="00D3063B">
        <w:tc>
          <w:tcPr>
            <w:tcW w:w="440" w:type="dxa"/>
          </w:tcPr>
          <w:p w:rsidR="00921B57" w:rsidRDefault="00810BBA" w:rsidP="009B407A">
            <w:r>
              <w:t>11</w:t>
            </w:r>
          </w:p>
        </w:tc>
        <w:tc>
          <w:tcPr>
            <w:tcW w:w="6223" w:type="dxa"/>
          </w:tcPr>
          <w:p w:rsidR="00921B57" w:rsidRDefault="00086388" w:rsidP="009B407A">
            <w:r w:rsidRPr="00086388">
              <w:t>A policy for dignity and respect towards and between nursing students, clinicians, persons receiving healthcare and academic staff is in place.</w:t>
            </w:r>
          </w:p>
          <w:p w:rsidR="00086388" w:rsidRDefault="00086388" w:rsidP="009B407A"/>
        </w:tc>
        <w:tc>
          <w:tcPr>
            <w:tcW w:w="4961" w:type="dxa"/>
          </w:tcPr>
          <w:p w:rsidR="00921B57" w:rsidRDefault="00921B57" w:rsidP="009B407A"/>
        </w:tc>
        <w:tc>
          <w:tcPr>
            <w:tcW w:w="2268" w:type="dxa"/>
          </w:tcPr>
          <w:p w:rsidR="00921B57" w:rsidRDefault="00921B57" w:rsidP="009B407A"/>
        </w:tc>
      </w:tr>
      <w:tr w:rsidR="00921B57" w:rsidTr="00D3063B">
        <w:trPr>
          <w:trHeight w:val="331"/>
        </w:trPr>
        <w:tc>
          <w:tcPr>
            <w:tcW w:w="440" w:type="dxa"/>
          </w:tcPr>
          <w:p w:rsidR="00921B57" w:rsidRDefault="00810BBA" w:rsidP="009B407A">
            <w:r>
              <w:t>12</w:t>
            </w:r>
          </w:p>
        </w:tc>
        <w:tc>
          <w:tcPr>
            <w:tcW w:w="6223" w:type="dxa"/>
          </w:tcPr>
          <w:p w:rsidR="00921B57" w:rsidRDefault="008E68D5" w:rsidP="009B407A">
            <w:r w:rsidRPr="008E68D5">
              <w:t>The organisation structure supporting the management of the educational programme is explicit.</w:t>
            </w:r>
          </w:p>
          <w:p w:rsidR="008E68D5" w:rsidRDefault="008E68D5" w:rsidP="009B407A"/>
        </w:tc>
        <w:tc>
          <w:tcPr>
            <w:tcW w:w="4961" w:type="dxa"/>
          </w:tcPr>
          <w:p w:rsidR="00921B57" w:rsidRDefault="00921B57" w:rsidP="009B407A"/>
        </w:tc>
        <w:tc>
          <w:tcPr>
            <w:tcW w:w="2268" w:type="dxa"/>
          </w:tcPr>
          <w:p w:rsidR="00921B57" w:rsidRDefault="00921B57" w:rsidP="009B407A"/>
        </w:tc>
      </w:tr>
      <w:tr w:rsidR="00921B57" w:rsidTr="00D3063B">
        <w:tc>
          <w:tcPr>
            <w:tcW w:w="440" w:type="dxa"/>
          </w:tcPr>
          <w:p w:rsidR="00921B57" w:rsidRDefault="00810BBA" w:rsidP="009B407A">
            <w:r>
              <w:t>13</w:t>
            </w:r>
          </w:p>
        </w:tc>
        <w:tc>
          <w:tcPr>
            <w:tcW w:w="6223" w:type="dxa"/>
          </w:tcPr>
          <w:p w:rsidR="00921B57" w:rsidRDefault="008E68D5" w:rsidP="009B407A">
            <w:r w:rsidRPr="008E68D5">
              <w:t>The named person with direct responsibility as course leader/co-ordinator to lead the programme holds appropriate academic and professional qualifications and experience.</w:t>
            </w:r>
          </w:p>
          <w:p w:rsidR="008E68D5" w:rsidRDefault="008E68D5" w:rsidP="009B407A"/>
        </w:tc>
        <w:tc>
          <w:tcPr>
            <w:tcW w:w="4961" w:type="dxa"/>
          </w:tcPr>
          <w:p w:rsidR="00921B57" w:rsidRDefault="00921B57" w:rsidP="009B407A"/>
        </w:tc>
        <w:tc>
          <w:tcPr>
            <w:tcW w:w="2268" w:type="dxa"/>
          </w:tcPr>
          <w:p w:rsidR="00921B57" w:rsidRDefault="00921B57" w:rsidP="009B407A"/>
        </w:tc>
      </w:tr>
      <w:tr w:rsidR="00921B57" w:rsidTr="00D3063B">
        <w:tc>
          <w:tcPr>
            <w:tcW w:w="440" w:type="dxa"/>
          </w:tcPr>
          <w:p w:rsidR="00921B57" w:rsidRDefault="008E68D5" w:rsidP="009B407A">
            <w:r>
              <w:t>14</w:t>
            </w:r>
          </w:p>
        </w:tc>
        <w:tc>
          <w:tcPr>
            <w:tcW w:w="6223" w:type="dxa"/>
          </w:tcPr>
          <w:p w:rsidR="00921B57" w:rsidRDefault="008E68D5" w:rsidP="009B407A">
            <w:r w:rsidRPr="008E68D5">
              <w:t xml:space="preserve">A Local Joint Working Group (LJWG), which includes representatives of the key stakeholders from the Higher Education Institution and the Associated Health Care </w:t>
            </w:r>
            <w:r w:rsidR="00082460" w:rsidRPr="008E68D5">
              <w:t>Provider(s),</w:t>
            </w:r>
            <w:r w:rsidRPr="008E68D5">
              <w:t xml:space="preserve"> is in operation to oversee and continually monitor at local level programme implementation so that any existing problems can be promptly identified and properly addressed.</w:t>
            </w:r>
          </w:p>
          <w:p w:rsidR="008E68D5" w:rsidRDefault="008E68D5" w:rsidP="009B407A"/>
        </w:tc>
        <w:tc>
          <w:tcPr>
            <w:tcW w:w="4961" w:type="dxa"/>
          </w:tcPr>
          <w:p w:rsidR="00921B57" w:rsidRDefault="00921B57" w:rsidP="009B407A"/>
        </w:tc>
        <w:tc>
          <w:tcPr>
            <w:tcW w:w="2268" w:type="dxa"/>
          </w:tcPr>
          <w:p w:rsidR="00921B57" w:rsidRDefault="00921B57" w:rsidP="009B407A"/>
        </w:tc>
      </w:tr>
      <w:tr w:rsidR="00921B57" w:rsidTr="00D3063B">
        <w:tc>
          <w:tcPr>
            <w:tcW w:w="440" w:type="dxa"/>
          </w:tcPr>
          <w:p w:rsidR="00921B57" w:rsidRDefault="008E68D5" w:rsidP="009B407A">
            <w:r>
              <w:t>15</w:t>
            </w:r>
          </w:p>
        </w:tc>
        <w:tc>
          <w:tcPr>
            <w:tcW w:w="6223" w:type="dxa"/>
          </w:tcPr>
          <w:p w:rsidR="008E68D5" w:rsidRDefault="008E68D5" w:rsidP="009B407A">
            <w:r w:rsidRPr="008E68D5">
              <w:t xml:space="preserve">Membership of the LJWG is inclusive of representatives from </w:t>
            </w:r>
            <w:proofErr w:type="gramStart"/>
            <w:r w:rsidRPr="008E68D5">
              <w:t>academic,</w:t>
            </w:r>
            <w:proofErr w:type="gramEnd"/>
            <w:r w:rsidRPr="008E68D5">
              <w:t xml:space="preserve"> and clinical stakeholders from acute and community practice settings and from persons using health services. Composition of the LJWG should reflect health services reorganisation and its membership adjusted accordingly.</w:t>
            </w:r>
          </w:p>
          <w:p w:rsidR="008E68D5" w:rsidRDefault="008E68D5" w:rsidP="009B407A"/>
        </w:tc>
        <w:tc>
          <w:tcPr>
            <w:tcW w:w="4961" w:type="dxa"/>
          </w:tcPr>
          <w:p w:rsidR="00921B57" w:rsidRDefault="00921B57" w:rsidP="009B407A"/>
        </w:tc>
        <w:tc>
          <w:tcPr>
            <w:tcW w:w="2268" w:type="dxa"/>
          </w:tcPr>
          <w:p w:rsidR="00921B57" w:rsidRDefault="00921B57" w:rsidP="009B407A"/>
        </w:tc>
      </w:tr>
      <w:tr w:rsidR="00921B57" w:rsidTr="00D3063B">
        <w:tc>
          <w:tcPr>
            <w:tcW w:w="440" w:type="dxa"/>
          </w:tcPr>
          <w:p w:rsidR="00921B57" w:rsidRDefault="008E68D5" w:rsidP="009B407A">
            <w:r>
              <w:t>16</w:t>
            </w:r>
          </w:p>
        </w:tc>
        <w:tc>
          <w:tcPr>
            <w:tcW w:w="6223" w:type="dxa"/>
          </w:tcPr>
          <w:p w:rsidR="008E68D5" w:rsidRDefault="008E68D5" w:rsidP="008E68D5">
            <w:r w:rsidRPr="008E68D5">
              <w:t>The LJWG is responsive to programme change in line with the DOH Health Reform Agenda and population focus.</w:t>
            </w:r>
          </w:p>
          <w:p w:rsidR="00921B57" w:rsidRDefault="00921B57" w:rsidP="009B407A"/>
        </w:tc>
        <w:tc>
          <w:tcPr>
            <w:tcW w:w="4961" w:type="dxa"/>
          </w:tcPr>
          <w:p w:rsidR="00921B57" w:rsidRDefault="00921B57" w:rsidP="009B407A"/>
        </w:tc>
        <w:tc>
          <w:tcPr>
            <w:tcW w:w="2268" w:type="dxa"/>
          </w:tcPr>
          <w:p w:rsidR="00921B57" w:rsidRDefault="00921B57" w:rsidP="009B407A"/>
        </w:tc>
      </w:tr>
      <w:tr w:rsidR="00921B57" w:rsidTr="00D3063B">
        <w:tc>
          <w:tcPr>
            <w:tcW w:w="440" w:type="dxa"/>
          </w:tcPr>
          <w:p w:rsidR="00921B57" w:rsidRDefault="00706FBE" w:rsidP="009B407A">
            <w:r>
              <w:t>17</w:t>
            </w:r>
          </w:p>
        </w:tc>
        <w:tc>
          <w:tcPr>
            <w:tcW w:w="6223" w:type="dxa"/>
          </w:tcPr>
          <w:p w:rsidR="00921B57" w:rsidRDefault="00706FBE" w:rsidP="009B407A">
            <w:r w:rsidRPr="00706FBE">
              <w:t>A governance agreement is in place within the HEI in respect of financial and staffing resources</w:t>
            </w:r>
            <w:r w:rsidR="00D144B2">
              <w:t xml:space="preserve"> </w:t>
            </w:r>
            <w:r w:rsidR="00D144B2">
              <w:rPr>
                <w:vertAlign w:val="superscript"/>
              </w:rPr>
              <w:t>44</w:t>
            </w:r>
            <w:r w:rsidR="00D144B2">
              <w:t xml:space="preserve">  </w:t>
            </w:r>
            <w:r w:rsidRPr="00706FBE">
              <w:t xml:space="preserve"> to support the delivery of the educational programme for the five year approval period.</w:t>
            </w:r>
          </w:p>
          <w:p w:rsidR="00706FBE" w:rsidRDefault="00706FBE" w:rsidP="009B407A"/>
        </w:tc>
        <w:tc>
          <w:tcPr>
            <w:tcW w:w="4961" w:type="dxa"/>
          </w:tcPr>
          <w:p w:rsidR="00921B57" w:rsidRDefault="00921B57" w:rsidP="009B407A"/>
        </w:tc>
        <w:tc>
          <w:tcPr>
            <w:tcW w:w="2268" w:type="dxa"/>
          </w:tcPr>
          <w:p w:rsidR="00921B57" w:rsidRDefault="00921B57" w:rsidP="009B407A"/>
        </w:tc>
      </w:tr>
      <w:tr w:rsidR="00921B57" w:rsidTr="00D3063B">
        <w:tc>
          <w:tcPr>
            <w:tcW w:w="440" w:type="dxa"/>
          </w:tcPr>
          <w:p w:rsidR="00921B57" w:rsidRDefault="00706FBE" w:rsidP="009B407A">
            <w:r>
              <w:t>18</w:t>
            </w:r>
          </w:p>
        </w:tc>
        <w:tc>
          <w:tcPr>
            <w:tcW w:w="6223" w:type="dxa"/>
          </w:tcPr>
          <w:p w:rsidR="00921B57" w:rsidRDefault="00706FBE" w:rsidP="009B407A">
            <w:r w:rsidRPr="00706FBE">
              <w:t>Confirmation of institutional support for the long-term security of the programme is explicit with appropriate and adequate resources and facilities being made available to meet the teaching and learning needs of the students</w:t>
            </w:r>
            <w:r w:rsidR="00D144B2">
              <w:t>.</w:t>
            </w:r>
          </w:p>
          <w:p w:rsidR="00706FBE" w:rsidRDefault="00706FBE" w:rsidP="009B407A"/>
        </w:tc>
        <w:tc>
          <w:tcPr>
            <w:tcW w:w="4961" w:type="dxa"/>
          </w:tcPr>
          <w:p w:rsidR="00921B57" w:rsidRDefault="00921B57" w:rsidP="009B407A"/>
        </w:tc>
        <w:tc>
          <w:tcPr>
            <w:tcW w:w="2268" w:type="dxa"/>
          </w:tcPr>
          <w:p w:rsidR="00921B57" w:rsidRDefault="00921B57" w:rsidP="009B407A"/>
        </w:tc>
      </w:tr>
      <w:tr w:rsidR="00921B57" w:rsidTr="00D3063B">
        <w:tc>
          <w:tcPr>
            <w:tcW w:w="440" w:type="dxa"/>
          </w:tcPr>
          <w:p w:rsidR="00921B57" w:rsidRDefault="00706FBE" w:rsidP="009B407A">
            <w:r>
              <w:t>19</w:t>
            </w:r>
          </w:p>
        </w:tc>
        <w:tc>
          <w:tcPr>
            <w:tcW w:w="6223" w:type="dxa"/>
          </w:tcPr>
          <w:p w:rsidR="00921B57" w:rsidRDefault="00706FBE" w:rsidP="009B407A">
            <w:r w:rsidRPr="00706FBE">
              <w:t>Structures are in place to facilitate the participation academic and practice staff and nursing undergraduates in the relevant deliberation, evaluation and decision-making processes associated with programme review and development.</w:t>
            </w:r>
          </w:p>
          <w:p w:rsidR="00706FBE" w:rsidRDefault="00706FBE" w:rsidP="009B407A"/>
        </w:tc>
        <w:tc>
          <w:tcPr>
            <w:tcW w:w="4961" w:type="dxa"/>
          </w:tcPr>
          <w:p w:rsidR="00921B57" w:rsidRDefault="00921B57" w:rsidP="009B407A"/>
        </w:tc>
        <w:tc>
          <w:tcPr>
            <w:tcW w:w="2268" w:type="dxa"/>
          </w:tcPr>
          <w:p w:rsidR="00921B57" w:rsidRDefault="00921B57" w:rsidP="009B407A"/>
        </w:tc>
      </w:tr>
      <w:tr w:rsidR="00921B57" w:rsidTr="00D3063B">
        <w:tc>
          <w:tcPr>
            <w:tcW w:w="440" w:type="dxa"/>
          </w:tcPr>
          <w:p w:rsidR="00921B57" w:rsidRDefault="00706FBE" w:rsidP="009B407A">
            <w:r>
              <w:t>20</w:t>
            </w:r>
          </w:p>
        </w:tc>
        <w:tc>
          <w:tcPr>
            <w:tcW w:w="6223" w:type="dxa"/>
          </w:tcPr>
          <w:p w:rsidR="00921B57" w:rsidRDefault="00706FBE" w:rsidP="009B407A">
            <w:r w:rsidRPr="00706FBE">
              <w:t>A mechanism for staff development, including academic and clinicians involved in delivery and assessment of teaching and learning, is declared.</w:t>
            </w:r>
          </w:p>
          <w:p w:rsidR="00706FBE" w:rsidRDefault="00706FBE" w:rsidP="009B407A"/>
        </w:tc>
        <w:tc>
          <w:tcPr>
            <w:tcW w:w="4961" w:type="dxa"/>
          </w:tcPr>
          <w:p w:rsidR="00921B57" w:rsidRDefault="00921B57" w:rsidP="009B407A"/>
        </w:tc>
        <w:tc>
          <w:tcPr>
            <w:tcW w:w="2268" w:type="dxa"/>
          </w:tcPr>
          <w:p w:rsidR="00921B57" w:rsidRDefault="00921B57" w:rsidP="009B407A"/>
        </w:tc>
      </w:tr>
    </w:tbl>
    <w:p w:rsidR="00093C2D" w:rsidRDefault="00093C2D" w:rsidP="00093C2D">
      <w:pPr>
        <w:spacing w:line="240" w:lineRule="auto"/>
      </w:pPr>
    </w:p>
    <w:p w:rsidR="00921B57" w:rsidRDefault="00082460" w:rsidP="00093C2D">
      <w:pPr>
        <w:spacing w:line="240" w:lineRule="auto"/>
      </w:pPr>
      <w:r>
        <w:t xml:space="preserve">44 </w:t>
      </w:r>
      <w:r w:rsidR="00093C2D">
        <w:t xml:space="preserve">1 academic staff </w:t>
      </w:r>
      <w:proofErr w:type="gramStart"/>
      <w:r w:rsidR="00093C2D">
        <w:t>member</w:t>
      </w:r>
      <w:proofErr w:type="gramEnd"/>
      <w:r w:rsidR="00093C2D">
        <w:t>: 20 undergraduate nursing student ratio</w:t>
      </w:r>
    </w:p>
    <w:p w:rsidR="007E310F" w:rsidRDefault="007E310F" w:rsidP="007E310F">
      <w:pPr>
        <w:pStyle w:val="Heading1"/>
      </w:pPr>
      <w:r>
        <w:t>3.2.4 Student Support, Supervision and Learning Resources</w:t>
      </w:r>
    </w:p>
    <w:p w:rsidR="002010CA" w:rsidRDefault="002010CA" w:rsidP="007E310F">
      <w:pPr>
        <w:rPr>
          <w:b/>
          <w:color w:val="000000" w:themeColor="text1"/>
        </w:rPr>
      </w:pPr>
    </w:p>
    <w:p w:rsidR="006342D5" w:rsidRDefault="007E310F" w:rsidP="007E310F">
      <w:pPr>
        <w:rPr>
          <w:color w:val="000000" w:themeColor="text1"/>
        </w:rPr>
      </w:pPr>
      <w:r w:rsidRPr="006342D5">
        <w:rPr>
          <w:b/>
          <w:color w:val="000000" w:themeColor="text1"/>
        </w:rPr>
        <w:t>Criterion:</w:t>
      </w:r>
      <w:r w:rsidR="00E543D7" w:rsidRPr="006342D5">
        <w:rPr>
          <w:color w:val="000000" w:themeColor="text1"/>
        </w:rPr>
        <w:t xml:space="preserve"> </w:t>
      </w:r>
    </w:p>
    <w:p w:rsidR="007E310F" w:rsidRPr="006342D5" w:rsidRDefault="007E310F" w:rsidP="007E310F">
      <w:pPr>
        <w:rPr>
          <w:color w:val="000000" w:themeColor="text1"/>
        </w:rPr>
      </w:pPr>
      <w:r w:rsidRPr="006342D5">
        <w:rPr>
          <w:color w:val="000000" w:themeColor="text1"/>
        </w:rPr>
        <w:t>The Higher Education Institution and its Associated Health Service Provider(s) should provide adequate guidance and support for student learning throughout the programme of study to foster an effective learning climate. The HEI and AHCS should provide adequate45 financial and human resources in terms of academic, supervisory, administrative, and clinical personnel to ensure the effective delivery of teaching, learning and assessment. Such resources should support research activity, programme administration and professional development of the staff involved in programme delivery and should be specified in a Memorandum of Understanding.</w:t>
      </w:r>
    </w:p>
    <w:p w:rsidR="006342D5" w:rsidRDefault="007E310F" w:rsidP="007E310F">
      <w:pPr>
        <w:rPr>
          <w:color w:val="000000" w:themeColor="text1"/>
        </w:rPr>
      </w:pPr>
      <w:r w:rsidRPr="006342D5">
        <w:rPr>
          <w:b/>
          <w:color w:val="000000" w:themeColor="text1"/>
        </w:rPr>
        <w:t>Standard:</w:t>
      </w:r>
      <w:r w:rsidRPr="006342D5">
        <w:rPr>
          <w:color w:val="000000" w:themeColor="text1"/>
        </w:rPr>
        <w:t xml:space="preserve"> </w:t>
      </w:r>
    </w:p>
    <w:p w:rsidR="00921B57" w:rsidRPr="006342D5" w:rsidRDefault="007E310F" w:rsidP="007E310F">
      <w:pPr>
        <w:rPr>
          <w:b/>
          <w:color w:val="000000" w:themeColor="text1"/>
        </w:rPr>
      </w:pPr>
      <w:r w:rsidRPr="006342D5">
        <w:rPr>
          <w:b/>
          <w:color w:val="000000" w:themeColor="text1"/>
        </w:rPr>
        <w:t>There is evidence as specified in a Memorandum of Understanding of the commitment of adequate resources by the HEI’s and Associated Health Care Provider(s) for effective support, guidance and supervision of nursing students.</w:t>
      </w:r>
    </w:p>
    <w:tbl>
      <w:tblPr>
        <w:tblStyle w:val="TableGrid"/>
        <w:tblW w:w="13892" w:type="dxa"/>
        <w:tblInd w:w="-601" w:type="dxa"/>
        <w:tblLook w:val="04A0" w:firstRow="1" w:lastRow="0" w:firstColumn="1" w:lastColumn="0" w:noHBand="0" w:noVBand="1"/>
      </w:tblPr>
      <w:tblGrid>
        <w:gridCol w:w="440"/>
        <w:gridCol w:w="6223"/>
        <w:gridCol w:w="4961"/>
        <w:gridCol w:w="2268"/>
      </w:tblGrid>
      <w:tr w:rsidR="006342D5" w:rsidTr="00CE55DD">
        <w:tc>
          <w:tcPr>
            <w:tcW w:w="440" w:type="dxa"/>
          </w:tcPr>
          <w:p w:rsidR="006342D5" w:rsidRDefault="006342D5" w:rsidP="009B407A"/>
        </w:tc>
        <w:tc>
          <w:tcPr>
            <w:tcW w:w="6223" w:type="dxa"/>
          </w:tcPr>
          <w:p w:rsidR="006342D5" w:rsidRPr="00C64FF7" w:rsidRDefault="006342D5" w:rsidP="009E3A56">
            <w:pPr>
              <w:jc w:val="center"/>
              <w:rPr>
                <w:b/>
              </w:rPr>
            </w:pPr>
            <w:r>
              <w:rPr>
                <w:b/>
              </w:rPr>
              <w:t>Indicators</w:t>
            </w:r>
          </w:p>
        </w:tc>
        <w:tc>
          <w:tcPr>
            <w:tcW w:w="4961" w:type="dxa"/>
          </w:tcPr>
          <w:p w:rsidR="006342D5" w:rsidRPr="00C64FF7" w:rsidRDefault="006342D5" w:rsidP="009E3A56">
            <w:pPr>
              <w:jc w:val="center"/>
              <w:rPr>
                <w:b/>
              </w:rPr>
            </w:pPr>
            <w:r w:rsidRPr="00C64FF7">
              <w:rPr>
                <w:b/>
              </w:rPr>
              <w:t>Evidence</w:t>
            </w:r>
          </w:p>
        </w:tc>
        <w:tc>
          <w:tcPr>
            <w:tcW w:w="2268" w:type="dxa"/>
          </w:tcPr>
          <w:p w:rsidR="006342D5" w:rsidRDefault="006342D5" w:rsidP="009E3A56">
            <w:pPr>
              <w:jc w:val="center"/>
              <w:rPr>
                <w:b/>
              </w:rPr>
            </w:pPr>
            <w:r w:rsidRPr="00C64FF7">
              <w:rPr>
                <w:b/>
              </w:rPr>
              <w:t xml:space="preserve">Reference page </w:t>
            </w:r>
          </w:p>
          <w:p w:rsidR="006342D5" w:rsidRPr="00C64FF7" w:rsidRDefault="006342D5" w:rsidP="009E3A56">
            <w:pPr>
              <w:jc w:val="center"/>
              <w:rPr>
                <w:b/>
              </w:rPr>
            </w:pPr>
            <w:r w:rsidRPr="00C64FF7">
              <w:rPr>
                <w:b/>
              </w:rPr>
              <w:t>in Document</w:t>
            </w:r>
          </w:p>
        </w:tc>
      </w:tr>
      <w:tr w:rsidR="00921B57" w:rsidTr="00CE55DD">
        <w:tc>
          <w:tcPr>
            <w:tcW w:w="440" w:type="dxa"/>
          </w:tcPr>
          <w:p w:rsidR="00921B57" w:rsidRDefault="00845946" w:rsidP="009B407A">
            <w:r>
              <w:t>1</w:t>
            </w:r>
          </w:p>
        </w:tc>
        <w:tc>
          <w:tcPr>
            <w:tcW w:w="6223" w:type="dxa"/>
          </w:tcPr>
          <w:p w:rsidR="00921B57" w:rsidRDefault="007A3E91" w:rsidP="009B407A">
            <w:r w:rsidRPr="007A3E91">
              <w:t>The mechanism for student support in relation to student services, facilities, academic and personal guidance is explicit and is made known, in writing, to students at the beginning of the programme.</w:t>
            </w:r>
          </w:p>
          <w:p w:rsidR="007A3E91" w:rsidRDefault="007A3E91" w:rsidP="009B407A"/>
        </w:tc>
        <w:tc>
          <w:tcPr>
            <w:tcW w:w="4961" w:type="dxa"/>
          </w:tcPr>
          <w:p w:rsidR="00921B57" w:rsidRDefault="00921B57" w:rsidP="009B407A"/>
        </w:tc>
        <w:tc>
          <w:tcPr>
            <w:tcW w:w="2268" w:type="dxa"/>
          </w:tcPr>
          <w:p w:rsidR="00921B57" w:rsidRDefault="00921B57" w:rsidP="009B407A"/>
        </w:tc>
      </w:tr>
      <w:tr w:rsidR="00921B57" w:rsidTr="00CE55DD">
        <w:tc>
          <w:tcPr>
            <w:tcW w:w="440" w:type="dxa"/>
          </w:tcPr>
          <w:p w:rsidR="00921B57" w:rsidRDefault="00845946" w:rsidP="009B407A">
            <w:r>
              <w:t>2</w:t>
            </w:r>
          </w:p>
        </w:tc>
        <w:tc>
          <w:tcPr>
            <w:tcW w:w="6223" w:type="dxa"/>
          </w:tcPr>
          <w:p w:rsidR="00921B57" w:rsidRDefault="007A3E91" w:rsidP="009B407A">
            <w:r w:rsidRPr="007A3E91">
              <w:t>Support mechanisms are provided for students, designed with their needs in mind and responsive to feedback from those who use such student services</w:t>
            </w:r>
            <w:r w:rsidR="00926043">
              <w:t xml:space="preserve">. </w:t>
            </w:r>
          </w:p>
          <w:p w:rsidR="007A3E91" w:rsidRDefault="007A3E91" w:rsidP="009B407A"/>
        </w:tc>
        <w:tc>
          <w:tcPr>
            <w:tcW w:w="4961" w:type="dxa"/>
          </w:tcPr>
          <w:p w:rsidR="00921B57" w:rsidRDefault="00921B57" w:rsidP="009B407A"/>
        </w:tc>
        <w:tc>
          <w:tcPr>
            <w:tcW w:w="2268" w:type="dxa"/>
          </w:tcPr>
          <w:p w:rsidR="00921B57" w:rsidRDefault="00921B57" w:rsidP="009B407A"/>
        </w:tc>
      </w:tr>
      <w:tr w:rsidR="00921B57" w:rsidTr="00CE55DD">
        <w:tc>
          <w:tcPr>
            <w:tcW w:w="440" w:type="dxa"/>
          </w:tcPr>
          <w:p w:rsidR="00921B57" w:rsidRDefault="00845946" w:rsidP="009B407A">
            <w:r>
              <w:t>3</w:t>
            </w:r>
          </w:p>
        </w:tc>
        <w:tc>
          <w:tcPr>
            <w:tcW w:w="6223" w:type="dxa"/>
          </w:tcPr>
          <w:p w:rsidR="00921B57" w:rsidRDefault="00DD55F4" w:rsidP="009B407A">
            <w:r w:rsidRPr="00DD55F4">
              <w:t>HEI and Schools/Departments educational learning resources and facilities (including technological support) adequately support delivery of the entirety of the programme.</w:t>
            </w:r>
          </w:p>
          <w:p w:rsidR="00DD55F4" w:rsidRDefault="00DD55F4" w:rsidP="009B407A"/>
        </w:tc>
        <w:tc>
          <w:tcPr>
            <w:tcW w:w="4961" w:type="dxa"/>
          </w:tcPr>
          <w:p w:rsidR="00921B57" w:rsidRDefault="00921B57" w:rsidP="009B407A"/>
        </w:tc>
        <w:tc>
          <w:tcPr>
            <w:tcW w:w="2268" w:type="dxa"/>
          </w:tcPr>
          <w:p w:rsidR="00921B57" w:rsidRDefault="00921B57" w:rsidP="009B407A"/>
        </w:tc>
      </w:tr>
      <w:tr w:rsidR="00921B57" w:rsidTr="00CE55DD">
        <w:tc>
          <w:tcPr>
            <w:tcW w:w="440" w:type="dxa"/>
          </w:tcPr>
          <w:p w:rsidR="00921B57" w:rsidRDefault="00845946" w:rsidP="009B407A">
            <w:r>
              <w:t>4</w:t>
            </w:r>
          </w:p>
        </w:tc>
        <w:tc>
          <w:tcPr>
            <w:tcW w:w="6223" w:type="dxa"/>
          </w:tcPr>
          <w:p w:rsidR="00921B57" w:rsidRDefault="00DD55F4" w:rsidP="009B407A">
            <w:r w:rsidRPr="00DD55F4">
              <w:t>Teaching and facilitation of student learning is resourced by adequate numbers of appropriately prepared academic, administrative, technical and clinical staff to support the delivery of the programme at the stated professional and academic level.</w:t>
            </w:r>
          </w:p>
          <w:p w:rsidR="00DD55F4" w:rsidRDefault="00DD55F4" w:rsidP="009B407A"/>
        </w:tc>
        <w:tc>
          <w:tcPr>
            <w:tcW w:w="4961" w:type="dxa"/>
          </w:tcPr>
          <w:p w:rsidR="00921B57" w:rsidRDefault="00921B57" w:rsidP="009B407A"/>
        </w:tc>
        <w:tc>
          <w:tcPr>
            <w:tcW w:w="2268" w:type="dxa"/>
          </w:tcPr>
          <w:p w:rsidR="00921B57" w:rsidRDefault="00921B57" w:rsidP="009B407A"/>
        </w:tc>
      </w:tr>
      <w:tr w:rsidR="00921B57" w:rsidTr="00CE55DD">
        <w:tc>
          <w:tcPr>
            <w:tcW w:w="440" w:type="dxa"/>
          </w:tcPr>
          <w:p w:rsidR="00921B57" w:rsidRDefault="00845946" w:rsidP="009B407A">
            <w:r>
              <w:t>5</w:t>
            </w:r>
          </w:p>
        </w:tc>
        <w:tc>
          <w:tcPr>
            <w:tcW w:w="6223" w:type="dxa"/>
          </w:tcPr>
          <w:p w:rsidR="00921B57" w:rsidRDefault="00DD55F4" w:rsidP="009B407A">
            <w:r w:rsidRPr="00DD55F4">
              <w:t>Nursing subjects are developed and taught by Registered Nurses/midwives with appropriate professional and academic qualifications and teaching expertise in the subject matter.</w:t>
            </w:r>
          </w:p>
          <w:p w:rsidR="00DD55F4" w:rsidRDefault="00DD55F4" w:rsidP="009B407A"/>
        </w:tc>
        <w:tc>
          <w:tcPr>
            <w:tcW w:w="4961" w:type="dxa"/>
          </w:tcPr>
          <w:p w:rsidR="00921B57" w:rsidRDefault="00921B57" w:rsidP="009B407A"/>
        </w:tc>
        <w:tc>
          <w:tcPr>
            <w:tcW w:w="2268" w:type="dxa"/>
          </w:tcPr>
          <w:p w:rsidR="00921B57" w:rsidRDefault="00921B57" w:rsidP="009B407A"/>
        </w:tc>
      </w:tr>
      <w:tr w:rsidR="00921B57" w:rsidTr="00CE55DD">
        <w:trPr>
          <w:trHeight w:val="46"/>
        </w:trPr>
        <w:tc>
          <w:tcPr>
            <w:tcW w:w="440" w:type="dxa"/>
          </w:tcPr>
          <w:p w:rsidR="00921B57" w:rsidRDefault="00845946" w:rsidP="009B407A">
            <w:r>
              <w:t>6</w:t>
            </w:r>
          </w:p>
        </w:tc>
        <w:tc>
          <w:tcPr>
            <w:tcW w:w="6223" w:type="dxa"/>
          </w:tcPr>
          <w:p w:rsidR="00921B57" w:rsidRDefault="00DD55F4" w:rsidP="009B407A">
            <w:r w:rsidRPr="00DD55F4">
              <w:t>The academic and practice staff delivering the programme hold appropriate professional qualifications and have the subject knowledge, skills and proficiency to teach or assess students in a range of settings.</w:t>
            </w:r>
          </w:p>
          <w:p w:rsidR="00DD55F4" w:rsidRDefault="00DD55F4" w:rsidP="009B407A"/>
        </w:tc>
        <w:tc>
          <w:tcPr>
            <w:tcW w:w="4961" w:type="dxa"/>
          </w:tcPr>
          <w:p w:rsidR="00921B57" w:rsidRDefault="00921B57" w:rsidP="009B407A"/>
        </w:tc>
        <w:tc>
          <w:tcPr>
            <w:tcW w:w="2268" w:type="dxa"/>
          </w:tcPr>
          <w:p w:rsidR="00921B57" w:rsidRDefault="00921B57" w:rsidP="009B407A"/>
        </w:tc>
      </w:tr>
      <w:tr w:rsidR="00921B57" w:rsidTr="00CE55DD">
        <w:tc>
          <w:tcPr>
            <w:tcW w:w="440" w:type="dxa"/>
          </w:tcPr>
          <w:p w:rsidR="00921B57" w:rsidRDefault="00845946" w:rsidP="009B407A">
            <w:r>
              <w:t>7</w:t>
            </w:r>
          </w:p>
        </w:tc>
        <w:tc>
          <w:tcPr>
            <w:tcW w:w="6223" w:type="dxa"/>
          </w:tcPr>
          <w:p w:rsidR="00921B57" w:rsidRDefault="00DD55F4" w:rsidP="009B407A">
            <w:r w:rsidRPr="00DD55F4">
              <w:t>A mechanism for staff development that prepares staff to deliver the educational programme including the provision for maintaining nursing subject expertise and academic and clinical credibility is declared.</w:t>
            </w:r>
          </w:p>
          <w:p w:rsidR="00DD55F4" w:rsidRDefault="00DD55F4" w:rsidP="009B407A"/>
        </w:tc>
        <w:tc>
          <w:tcPr>
            <w:tcW w:w="4961" w:type="dxa"/>
          </w:tcPr>
          <w:p w:rsidR="00921B57" w:rsidRDefault="00921B57" w:rsidP="009B407A"/>
        </w:tc>
        <w:tc>
          <w:tcPr>
            <w:tcW w:w="2268" w:type="dxa"/>
          </w:tcPr>
          <w:p w:rsidR="00921B57" w:rsidRDefault="00921B57" w:rsidP="009B407A"/>
        </w:tc>
      </w:tr>
      <w:tr w:rsidR="00921B57" w:rsidTr="00CE55DD">
        <w:tc>
          <w:tcPr>
            <w:tcW w:w="440" w:type="dxa"/>
          </w:tcPr>
          <w:p w:rsidR="00921B57" w:rsidRDefault="00845946" w:rsidP="009B407A">
            <w:r>
              <w:t>8</w:t>
            </w:r>
          </w:p>
        </w:tc>
        <w:tc>
          <w:tcPr>
            <w:tcW w:w="6223" w:type="dxa"/>
          </w:tcPr>
          <w:p w:rsidR="00921B57" w:rsidRDefault="00DD55F4" w:rsidP="009B407A">
            <w:r w:rsidRPr="00DD55F4">
              <w:t>Processes for monitoring of student attendance, sickness, absence and attrition are fair, accurate, transparent and available.</w:t>
            </w:r>
          </w:p>
          <w:p w:rsidR="00DD55F4" w:rsidRDefault="00DD55F4" w:rsidP="009B407A"/>
        </w:tc>
        <w:tc>
          <w:tcPr>
            <w:tcW w:w="4961" w:type="dxa"/>
          </w:tcPr>
          <w:p w:rsidR="00921B57" w:rsidRDefault="00921B57" w:rsidP="009B407A"/>
        </w:tc>
        <w:tc>
          <w:tcPr>
            <w:tcW w:w="2268" w:type="dxa"/>
          </w:tcPr>
          <w:p w:rsidR="00921B57" w:rsidRDefault="00921B57" w:rsidP="009B407A"/>
        </w:tc>
      </w:tr>
      <w:tr w:rsidR="00921B57" w:rsidTr="00CE55DD">
        <w:tc>
          <w:tcPr>
            <w:tcW w:w="440" w:type="dxa"/>
          </w:tcPr>
          <w:p w:rsidR="00921B57" w:rsidRDefault="00845946" w:rsidP="009B407A">
            <w:r>
              <w:t>9</w:t>
            </w:r>
          </w:p>
        </w:tc>
        <w:tc>
          <w:tcPr>
            <w:tcW w:w="6223" w:type="dxa"/>
          </w:tcPr>
          <w:p w:rsidR="00921B57" w:rsidRDefault="00DD55F4" w:rsidP="009B407A">
            <w:r w:rsidRPr="00DD55F4">
              <w:t>Specified periods of annual leave are identified within the curriculum for years 1-3 of the programme and during the final year internship period.</w:t>
            </w:r>
          </w:p>
          <w:p w:rsidR="00DD55F4" w:rsidRDefault="00DD55F4" w:rsidP="009B407A"/>
        </w:tc>
        <w:tc>
          <w:tcPr>
            <w:tcW w:w="4961" w:type="dxa"/>
          </w:tcPr>
          <w:p w:rsidR="00921B57" w:rsidRDefault="00921B57" w:rsidP="009B407A"/>
        </w:tc>
        <w:tc>
          <w:tcPr>
            <w:tcW w:w="2268" w:type="dxa"/>
          </w:tcPr>
          <w:p w:rsidR="00921B57" w:rsidRDefault="00921B57" w:rsidP="009B407A"/>
        </w:tc>
      </w:tr>
      <w:tr w:rsidR="00921B57" w:rsidTr="00CE55DD">
        <w:tc>
          <w:tcPr>
            <w:tcW w:w="440" w:type="dxa"/>
          </w:tcPr>
          <w:p w:rsidR="00921B57" w:rsidRDefault="00845946" w:rsidP="009B407A">
            <w:r>
              <w:t>10</w:t>
            </w:r>
          </w:p>
        </w:tc>
        <w:tc>
          <w:tcPr>
            <w:tcW w:w="6223" w:type="dxa"/>
          </w:tcPr>
          <w:p w:rsidR="00921B57" w:rsidRDefault="00DD55F4" w:rsidP="009B407A">
            <w:r w:rsidRPr="00DD55F4">
              <w:t>A formal grievance and complaints policy for students is in place.</w:t>
            </w:r>
          </w:p>
          <w:p w:rsidR="00DD55F4" w:rsidRDefault="00DD55F4" w:rsidP="009B407A"/>
        </w:tc>
        <w:tc>
          <w:tcPr>
            <w:tcW w:w="4961" w:type="dxa"/>
          </w:tcPr>
          <w:p w:rsidR="00921B57" w:rsidRDefault="00921B57" w:rsidP="009B407A"/>
        </w:tc>
        <w:tc>
          <w:tcPr>
            <w:tcW w:w="2268" w:type="dxa"/>
          </w:tcPr>
          <w:p w:rsidR="00921B57" w:rsidRDefault="00921B57" w:rsidP="009B407A"/>
        </w:tc>
      </w:tr>
      <w:tr w:rsidR="00921B57" w:rsidTr="00CE55DD">
        <w:tc>
          <w:tcPr>
            <w:tcW w:w="440" w:type="dxa"/>
          </w:tcPr>
          <w:p w:rsidR="00921B57" w:rsidRDefault="00845946" w:rsidP="009B407A">
            <w:r>
              <w:t>11</w:t>
            </w:r>
          </w:p>
        </w:tc>
        <w:tc>
          <w:tcPr>
            <w:tcW w:w="6223" w:type="dxa"/>
          </w:tcPr>
          <w:p w:rsidR="00921B57" w:rsidRDefault="00DD55F4" w:rsidP="009B407A">
            <w:r w:rsidRPr="00DD55F4">
              <w:t>Processes for monitoring of student achievement, progression and completion are fair, accurate, transparent and available.</w:t>
            </w:r>
          </w:p>
          <w:p w:rsidR="00DD55F4" w:rsidRDefault="00DD55F4" w:rsidP="009B407A"/>
        </w:tc>
        <w:tc>
          <w:tcPr>
            <w:tcW w:w="4961" w:type="dxa"/>
          </w:tcPr>
          <w:p w:rsidR="00921B57" w:rsidRDefault="00921B57" w:rsidP="009B407A"/>
        </w:tc>
        <w:tc>
          <w:tcPr>
            <w:tcW w:w="2268" w:type="dxa"/>
          </w:tcPr>
          <w:p w:rsidR="00921B57" w:rsidRDefault="00921B57" w:rsidP="009B407A"/>
        </w:tc>
      </w:tr>
      <w:tr w:rsidR="00921B57" w:rsidTr="00CE55DD">
        <w:tc>
          <w:tcPr>
            <w:tcW w:w="440" w:type="dxa"/>
          </w:tcPr>
          <w:p w:rsidR="00921B57" w:rsidRDefault="00845946" w:rsidP="009B407A">
            <w:r>
              <w:t>12</w:t>
            </w:r>
          </w:p>
        </w:tc>
        <w:tc>
          <w:tcPr>
            <w:tcW w:w="6223" w:type="dxa"/>
          </w:tcPr>
          <w:p w:rsidR="00921B57" w:rsidRDefault="00DD55F4" w:rsidP="009B407A">
            <w:r w:rsidRPr="00DD55F4">
              <w:t>A formal appeals procedure is in place with clear guidance on the process for students.</w:t>
            </w:r>
          </w:p>
          <w:p w:rsidR="00DD55F4" w:rsidRDefault="00DD55F4" w:rsidP="009B407A"/>
        </w:tc>
        <w:tc>
          <w:tcPr>
            <w:tcW w:w="4961" w:type="dxa"/>
          </w:tcPr>
          <w:p w:rsidR="00921B57" w:rsidRDefault="00921B57" w:rsidP="009B407A"/>
        </w:tc>
        <w:tc>
          <w:tcPr>
            <w:tcW w:w="2268" w:type="dxa"/>
          </w:tcPr>
          <w:p w:rsidR="00921B57" w:rsidRDefault="00921B57" w:rsidP="009B407A"/>
        </w:tc>
      </w:tr>
      <w:tr w:rsidR="00921B57" w:rsidTr="00CE55DD">
        <w:tc>
          <w:tcPr>
            <w:tcW w:w="440" w:type="dxa"/>
          </w:tcPr>
          <w:p w:rsidR="00921B57" w:rsidRDefault="00845946" w:rsidP="009B407A">
            <w:r>
              <w:t>13</w:t>
            </w:r>
          </w:p>
        </w:tc>
        <w:tc>
          <w:tcPr>
            <w:tcW w:w="6223" w:type="dxa"/>
          </w:tcPr>
          <w:p w:rsidR="00921B57" w:rsidRDefault="00DD55F4" w:rsidP="009B407A">
            <w:r w:rsidRPr="00DD55F4">
              <w:t>Access is afforded to undergraduate nursing students for clinical exposure to allied health professionals.</w:t>
            </w:r>
          </w:p>
          <w:p w:rsidR="00DD55F4" w:rsidRDefault="00DD55F4" w:rsidP="009B407A"/>
        </w:tc>
        <w:tc>
          <w:tcPr>
            <w:tcW w:w="4961" w:type="dxa"/>
          </w:tcPr>
          <w:p w:rsidR="00921B57" w:rsidRDefault="00921B57" w:rsidP="009B407A"/>
        </w:tc>
        <w:tc>
          <w:tcPr>
            <w:tcW w:w="2268" w:type="dxa"/>
          </w:tcPr>
          <w:p w:rsidR="00921B57" w:rsidRDefault="00921B57" w:rsidP="009B407A"/>
        </w:tc>
      </w:tr>
      <w:tr w:rsidR="00921B57" w:rsidTr="00CE55DD">
        <w:tc>
          <w:tcPr>
            <w:tcW w:w="440" w:type="dxa"/>
          </w:tcPr>
          <w:p w:rsidR="00921B57" w:rsidRDefault="00845946" w:rsidP="009B407A">
            <w:r>
              <w:t>14</w:t>
            </w:r>
          </w:p>
        </w:tc>
        <w:tc>
          <w:tcPr>
            <w:tcW w:w="6223" w:type="dxa"/>
          </w:tcPr>
          <w:p w:rsidR="00921B57" w:rsidRDefault="00DD55F4" w:rsidP="009B407A">
            <w:r w:rsidRPr="00DD55F4">
              <w:t>The methodology of the Higher Education Institution and the Associated Health Care Provider(s) to support students in the practice learning setting and to be involved in the clinical environment and its development are explicit.</w:t>
            </w:r>
          </w:p>
          <w:p w:rsidR="00DD55F4" w:rsidRDefault="00DD55F4" w:rsidP="009B407A"/>
          <w:p w:rsidR="00D30252" w:rsidRDefault="00D30252" w:rsidP="009B407A"/>
        </w:tc>
        <w:tc>
          <w:tcPr>
            <w:tcW w:w="4961" w:type="dxa"/>
          </w:tcPr>
          <w:p w:rsidR="00921B57" w:rsidRDefault="00921B57" w:rsidP="009B407A"/>
        </w:tc>
        <w:tc>
          <w:tcPr>
            <w:tcW w:w="2268" w:type="dxa"/>
          </w:tcPr>
          <w:p w:rsidR="00921B57" w:rsidRDefault="00921B57" w:rsidP="009B407A"/>
        </w:tc>
      </w:tr>
      <w:tr w:rsidR="00921B57" w:rsidTr="00CE55DD">
        <w:tc>
          <w:tcPr>
            <w:tcW w:w="440" w:type="dxa"/>
          </w:tcPr>
          <w:p w:rsidR="00921B57" w:rsidRDefault="00845946" w:rsidP="009B407A">
            <w:r>
              <w:t>15</w:t>
            </w:r>
          </w:p>
        </w:tc>
        <w:tc>
          <w:tcPr>
            <w:tcW w:w="6223" w:type="dxa"/>
          </w:tcPr>
          <w:p w:rsidR="00921B57" w:rsidRDefault="00DD55F4" w:rsidP="009B407A">
            <w:r w:rsidRPr="00DD55F4">
              <w:t>Mechanisms for student support in relation the provision of adequate guidance, supervision and examination of competence development in practice placement settings are available</w:t>
            </w:r>
            <w:r w:rsidR="00660A70" w:rsidRPr="00660A70">
              <w:rPr>
                <w:vertAlign w:val="superscript"/>
              </w:rPr>
              <w:t>45</w:t>
            </w:r>
            <w:r w:rsidRPr="00DD55F4">
              <w:t>.</w:t>
            </w:r>
          </w:p>
          <w:p w:rsidR="00DD55F4" w:rsidRDefault="00DD55F4" w:rsidP="009B407A"/>
        </w:tc>
        <w:tc>
          <w:tcPr>
            <w:tcW w:w="4961" w:type="dxa"/>
          </w:tcPr>
          <w:p w:rsidR="00921B57" w:rsidRDefault="00921B57" w:rsidP="009B407A"/>
        </w:tc>
        <w:tc>
          <w:tcPr>
            <w:tcW w:w="2268" w:type="dxa"/>
          </w:tcPr>
          <w:p w:rsidR="00921B57" w:rsidRDefault="00921B57" w:rsidP="009B407A"/>
        </w:tc>
      </w:tr>
      <w:tr w:rsidR="00921B57" w:rsidTr="00CE55DD">
        <w:tc>
          <w:tcPr>
            <w:tcW w:w="440" w:type="dxa"/>
          </w:tcPr>
          <w:p w:rsidR="00921B57" w:rsidRDefault="00845946" w:rsidP="009B407A">
            <w:r>
              <w:t>16</w:t>
            </w:r>
          </w:p>
        </w:tc>
        <w:tc>
          <w:tcPr>
            <w:tcW w:w="6223" w:type="dxa"/>
          </w:tcPr>
          <w:p w:rsidR="00921B57" w:rsidRDefault="00DD55F4" w:rsidP="009B407A">
            <w:r w:rsidRPr="00DD55F4">
              <w:t>The staff resource46 supports the delivery of the educational programme at the stated professional and academic level.</w:t>
            </w:r>
          </w:p>
          <w:p w:rsidR="00DD55F4" w:rsidRDefault="00DD55F4" w:rsidP="009B407A"/>
        </w:tc>
        <w:tc>
          <w:tcPr>
            <w:tcW w:w="4961" w:type="dxa"/>
          </w:tcPr>
          <w:p w:rsidR="00921B57" w:rsidRDefault="00921B57" w:rsidP="009B407A"/>
        </w:tc>
        <w:tc>
          <w:tcPr>
            <w:tcW w:w="2268" w:type="dxa"/>
          </w:tcPr>
          <w:p w:rsidR="00921B57" w:rsidRDefault="00921B57" w:rsidP="009B407A"/>
        </w:tc>
      </w:tr>
      <w:tr w:rsidR="00921B57" w:rsidTr="00CE55DD">
        <w:tc>
          <w:tcPr>
            <w:tcW w:w="440" w:type="dxa"/>
          </w:tcPr>
          <w:p w:rsidR="00921B57" w:rsidRDefault="00845946" w:rsidP="009B407A">
            <w:r>
              <w:t>17</w:t>
            </w:r>
          </w:p>
        </w:tc>
        <w:tc>
          <w:tcPr>
            <w:tcW w:w="6223" w:type="dxa"/>
          </w:tcPr>
          <w:p w:rsidR="00921B57" w:rsidRDefault="00DD55F4" w:rsidP="009B407A">
            <w:r w:rsidRPr="00DD55F4">
              <w:t>The HEI and AHCP(s) routinely monitor and review the effectiveness of support services available to students and implement necessary improvements.</w:t>
            </w:r>
          </w:p>
          <w:p w:rsidR="00DD55F4" w:rsidRDefault="00DD55F4" w:rsidP="009B407A"/>
        </w:tc>
        <w:tc>
          <w:tcPr>
            <w:tcW w:w="4961" w:type="dxa"/>
          </w:tcPr>
          <w:p w:rsidR="00921B57" w:rsidRDefault="00921B57" w:rsidP="009B407A"/>
        </w:tc>
        <w:tc>
          <w:tcPr>
            <w:tcW w:w="2268" w:type="dxa"/>
          </w:tcPr>
          <w:p w:rsidR="00921B57" w:rsidRDefault="00921B57" w:rsidP="009B407A"/>
        </w:tc>
      </w:tr>
    </w:tbl>
    <w:p w:rsidR="00921B57" w:rsidRDefault="00921B57" w:rsidP="00FD7D66"/>
    <w:p w:rsidR="00926043" w:rsidRPr="00660A70" w:rsidRDefault="00926043" w:rsidP="00FD7D66">
      <w:r w:rsidRPr="00660A70">
        <w:t>45 Of sufficient level to match the needs for delivering the programme in accordance with criteria specified in NMBI Standards and Requirements.</w:t>
      </w:r>
    </w:p>
    <w:p w:rsidR="00921B57" w:rsidRDefault="00D30252" w:rsidP="00FD7D66">
      <w:proofErr w:type="gramStart"/>
      <w:r>
        <w:t>46 Nurse Practice Development Coordinator, Clinical Placement Coordinator (1:30), Academic Staff (1:20), Allocations Liaison Officer (1:50) staff- student ratio.</w:t>
      </w:r>
      <w:proofErr w:type="gramEnd"/>
      <w:r>
        <w:t xml:space="preserve"> </w:t>
      </w:r>
    </w:p>
    <w:p w:rsidR="00D30252" w:rsidRDefault="00D30252">
      <w:pPr>
        <w:rPr>
          <w:rFonts w:asciiTheme="majorHAnsi" w:eastAsiaTheme="majorEastAsia" w:hAnsiTheme="majorHAnsi" w:cstheme="majorBidi"/>
          <w:color w:val="2E74B5" w:themeColor="accent1" w:themeShade="BF"/>
          <w:sz w:val="32"/>
          <w:szCs w:val="32"/>
        </w:rPr>
      </w:pPr>
      <w:r>
        <w:br w:type="page"/>
      </w:r>
    </w:p>
    <w:p w:rsidR="00F4338A" w:rsidRDefault="00F4338A" w:rsidP="00F4338A">
      <w:pPr>
        <w:pStyle w:val="Heading1"/>
      </w:pPr>
      <w:r>
        <w:t>3.2.5 Assessment Strategies</w:t>
      </w:r>
    </w:p>
    <w:p w:rsidR="00102406" w:rsidRDefault="00102406" w:rsidP="00F4338A">
      <w:pPr>
        <w:rPr>
          <w:b/>
          <w:color w:val="000000" w:themeColor="text1"/>
        </w:rPr>
      </w:pPr>
    </w:p>
    <w:p w:rsidR="00102406" w:rsidRPr="00102406" w:rsidRDefault="00F4338A" w:rsidP="00F4338A">
      <w:pPr>
        <w:rPr>
          <w:color w:val="000000" w:themeColor="text1"/>
        </w:rPr>
      </w:pPr>
      <w:r w:rsidRPr="00102406">
        <w:rPr>
          <w:b/>
          <w:color w:val="000000" w:themeColor="text1"/>
        </w:rPr>
        <w:t>Criterion</w:t>
      </w:r>
      <w:r w:rsidRPr="00102406">
        <w:rPr>
          <w:color w:val="000000" w:themeColor="text1"/>
        </w:rPr>
        <w:t>:</w:t>
      </w:r>
      <w:r w:rsidR="00E543D7" w:rsidRPr="00102406">
        <w:rPr>
          <w:color w:val="000000" w:themeColor="text1"/>
        </w:rPr>
        <w:t xml:space="preserve"> </w:t>
      </w:r>
    </w:p>
    <w:p w:rsidR="00F4338A" w:rsidRPr="00102406" w:rsidRDefault="00F4338A" w:rsidP="00F4338A">
      <w:pPr>
        <w:rPr>
          <w:color w:val="000000" w:themeColor="text1"/>
        </w:rPr>
      </w:pPr>
      <w:r w:rsidRPr="00102406">
        <w:rPr>
          <w:color w:val="000000" w:themeColor="text1"/>
        </w:rPr>
        <w:t xml:space="preserve">Assessment of academic achievement, progression and completion must be fair, effective and transparent. </w:t>
      </w:r>
      <w:r w:rsidR="00102406">
        <w:rPr>
          <w:color w:val="000000" w:themeColor="text1"/>
        </w:rPr>
        <w:t xml:space="preserve"> </w:t>
      </w:r>
      <w:r w:rsidRPr="00102406">
        <w:rPr>
          <w:color w:val="000000" w:themeColor="text1"/>
        </w:rPr>
        <w:t>Students should be assessed using published criteria, regulations and procedures that are applied consistently and are subject to internal and external verification.</w:t>
      </w:r>
    </w:p>
    <w:p w:rsidR="00102406" w:rsidRPr="00102406" w:rsidRDefault="00F4338A" w:rsidP="00F4338A">
      <w:pPr>
        <w:rPr>
          <w:b/>
          <w:color w:val="000000" w:themeColor="text1"/>
        </w:rPr>
      </w:pPr>
      <w:r w:rsidRPr="00102406">
        <w:rPr>
          <w:b/>
          <w:color w:val="000000" w:themeColor="text1"/>
        </w:rPr>
        <w:t xml:space="preserve">Standard: </w:t>
      </w:r>
    </w:p>
    <w:p w:rsidR="00921B57" w:rsidRDefault="00F4338A" w:rsidP="00F4338A">
      <w:pPr>
        <w:rPr>
          <w:b/>
          <w:color w:val="000000" w:themeColor="text1"/>
        </w:rPr>
      </w:pPr>
      <w:r w:rsidRPr="00102406">
        <w:rPr>
          <w:b/>
          <w:color w:val="000000" w:themeColor="text1"/>
        </w:rPr>
        <w:t>The assessment of learning is a continuous process and demonstrates a balanced and integrated distribution throughout the educational programme that is verified through the external examination process.</w:t>
      </w:r>
    </w:p>
    <w:tbl>
      <w:tblPr>
        <w:tblStyle w:val="TableGrid"/>
        <w:tblW w:w="13892" w:type="dxa"/>
        <w:tblInd w:w="-601" w:type="dxa"/>
        <w:tblLook w:val="04A0" w:firstRow="1" w:lastRow="0" w:firstColumn="1" w:lastColumn="0" w:noHBand="0" w:noVBand="1"/>
      </w:tblPr>
      <w:tblGrid>
        <w:gridCol w:w="440"/>
        <w:gridCol w:w="6223"/>
        <w:gridCol w:w="4961"/>
        <w:gridCol w:w="2268"/>
      </w:tblGrid>
      <w:tr w:rsidR="00102406" w:rsidTr="00CE55DD">
        <w:tc>
          <w:tcPr>
            <w:tcW w:w="440" w:type="dxa"/>
          </w:tcPr>
          <w:p w:rsidR="00102406" w:rsidRDefault="00102406" w:rsidP="009B407A"/>
        </w:tc>
        <w:tc>
          <w:tcPr>
            <w:tcW w:w="6223" w:type="dxa"/>
          </w:tcPr>
          <w:p w:rsidR="00102406" w:rsidRPr="00C64FF7" w:rsidRDefault="00102406" w:rsidP="009E3A56">
            <w:pPr>
              <w:jc w:val="center"/>
              <w:rPr>
                <w:b/>
              </w:rPr>
            </w:pPr>
            <w:r>
              <w:rPr>
                <w:b/>
              </w:rPr>
              <w:t>Indicators</w:t>
            </w:r>
          </w:p>
        </w:tc>
        <w:tc>
          <w:tcPr>
            <w:tcW w:w="4961" w:type="dxa"/>
          </w:tcPr>
          <w:p w:rsidR="00102406" w:rsidRPr="00C64FF7" w:rsidRDefault="00102406" w:rsidP="009E3A56">
            <w:pPr>
              <w:jc w:val="center"/>
              <w:rPr>
                <w:b/>
              </w:rPr>
            </w:pPr>
            <w:r w:rsidRPr="00C64FF7">
              <w:rPr>
                <w:b/>
              </w:rPr>
              <w:t>Evidence</w:t>
            </w:r>
          </w:p>
        </w:tc>
        <w:tc>
          <w:tcPr>
            <w:tcW w:w="2268" w:type="dxa"/>
          </w:tcPr>
          <w:p w:rsidR="00102406" w:rsidRDefault="00102406" w:rsidP="009E3A56">
            <w:pPr>
              <w:jc w:val="center"/>
              <w:rPr>
                <w:b/>
              </w:rPr>
            </w:pPr>
            <w:r w:rsidRPr="00C64FF7">
              <w:rPr>
                <w:b/>
              </w:rPr>
              <w:t xml:space="preserve">Reference page </w:t>
            </w:r>
          </w:p>
          <w:p w:rsidR="00102406" w:rsidRPr="00C64FF7" w:rsidRDefault="00102406" w:rsidP="009E3A56">
            <w:pPr>
              <w:jc w:val="center"/>
              <w:rPr>
                <w:b/>
              </w:rPr>
            </w:pPr>
            <w:r w:rsidRPr="00C64FF7">
              <w:rPr>
                <w:b/>
              </w:rPr>
              <w:t>in Document</w:t>
            </w:r>
          </w:p>
        </w:tc>
      </w:tr>
      <w:tr w:rsidR="00921B57" w:rsidTr="00CE55DD">
        <w:tc>
          <w:tcPr>
            <w:tcW w:w="440" w:type="dxa"/>
          </w:tcPr>
          <w:p w:rsidR="00921B57" w:rsidRDefault="00607E0E" w:rsidP="009B407A">
            <w:r>
              <w:t>1</w:t>
            </w:r>
          </w:p>
        </w:tc>
        <w:tc>
          <w:tcPr>
            <w:tcW w:w="6223" w:type="dxa"/>
          </w:tcPr>
          <w:p w:rsidR="00921B57" w:rsidRDefault="00607E0E" w:rsidP="009B407A">
            <w:r w:rsidRPr="00607E0E">
              <w:t>The curriculum design includes the assessment strategy in relation to the measurement of practice-based and theoretical learning outcomes.</w:t>
            </w:r>
          </w:p>
          <w:p w:rsidR="00607E0E" w:rsidRDefault="00607E0E" w:rsidP="009B407A"/>
        </w:tc>
        <w:tc>
          <w:tcPr>
            <w:tcW w:w="4961" w:type="dxa"/>
          </w:tcPr>
          <w:p w:rsidR="00921B57" w:rsidRDefault="00921B57" w:rsidP="009B407A"/>
        </w:tc>
        <w:tc>
          <w:tcPr>
            <w:tcW w:w="2268" w:type="dxa"/>
          </w:tcPr>
          <w:p w:rsidR="00921B57" w:rsidRDefault="00921B57" w:rsidP="009B407A"/>
        </w:tc>
      </w:tr>
      <w:tr w:rsidR="00921B57" w:rsidTr="00CE55DD">
        <w:tc>
          <w:tcPr>
            <w:tcW w:w="440" w:type="dxa"/>
          </w:tcPr>
          <w:p w:rsidR="00921B57" w:rsidRDefault="00607E0E" w:rsidP="009B407A">
            <w:r>
              <w:t>2</w:t>
            </w:r>
          </w:p>
        </w:tc>
        <w:tc>
          <w:tcPr>
            <w:tcW w:w="6223" w:type="dxa"/>
          </w:tcPr>
          <w:p w:rsidR="00921B57" w:rsidRDefault="00607E0E" w:rsidP="009B407A">
            <w:r w:rsidRPr="00607E0E">
              <w:t>The programme assessments strategy is strategically planned and fit for purpose.</w:t>
            </w:r>
          </w:p>
          <w:p w:rsidR="00607E0E" w:rsidRDefault="00607E0E" w:rsidP="009B407A"/>
        </w:tc>
        <w:tc>
          <w:tcPr>
            <w:tcW w:w="4961" w:type="dxa"/>
          </w:tcPr>
          <w:p w:rsidR="00921B57" w:rsidRDefault="00921B57" w:rsidP="009B407A"/>
        </w:tc>
        <w:tc>
          <w:tcPr>
            <w:tcW w:w="2268" w:type="dxa"/>
          </w:tcPr>
          <w:p w:rsidR="00921B57" w:rsidRDefault="00921B57" w:rsidP="009B407A"/>
        </w:tc>
      </w:tr>
      <w:tr w:rsidR="00921B57" w:rsidTr="00CE55DD">
        <w:tc>
          <w:tcPr>
            <w:tcW w:w="440" w:type="dxa"/>
          </w:tcPr>
          <w:p w:rsidR="00921B57" w:rsidRDefault="00607E0E" w:rsidP="009B407A">
            <w:r>
              <w:t>3</w:t>
            </w:r>
          </w:p>
        </w:tc>
        <w:tc>
          <w:tcPr>
            <w:tcW w:w="6223" w:type="dxa"/>
          </w:tcPr>
          <w:p w:rsidR="00921B57" w:rsidRDefault="00607E0E" w:rsidP="009B407A">
            <w:r w:rsidRPr="00607E0E">
              <w:t>Assessments serve a formative function for gauging student progress and a summative purpose to ensure that progression to the next part/year of the programme is dependent on student attainment of required educational standards in theory and practice.</w:t>
            </w:r>
          </w:p>
          <w:p w:rsidR="00607E0E" w:rsidRDefault="00607E0E" w:rsidP="009B407A"/>
        </w:tc>
        <w:tc>
          <w:tcPr>
            <w:tcW w:w="4961" w:type="dxa"/>
          </w:tcPr>
          <w:p w:rsidR="00921B57" w:rsidRDefault="00921B57" w:rsidP="009B407A"/>
        </w:tc>
        <w:tc>
          <w:tcPr>
            <w:tcW w:w="2268" w:type="dxa"/>
          </w:tcPr>
          <w:p w:rsidR="00921B57" w:rsidRDefault="00921B57" w:rsidP="009B407A"/>
        </w:tc>
      </w:tr>
      <w:tr w:rsidR="00921B57" w:rsidTr="00CE55DD">
        <w:tc>
          <w:tcPr>
            <w:tcW w:w="440" w:type="dxa"/>
          </w:tcPr>
          <w:p w:rsidR="00921B57" w:rsidRDefault="00607E0E" w:rsidP="009B407A">
            <w:r>
              <w:t>4</w:t>
            </w:r>
          </w:p>
        </w:tc>
        <w:tc>
          <w:tcPr>
            <w:tcW w:w="6223" w:type="dxa"/>
          </w:tcPr>
          <w:p w:rsidR="00921B57" w:rsidRDefault="00E351D2" w:rsidP="009B407A">
            <w:r w:rsidRPr="00E351D2">
              <w:t>From an early stage, students are made aware of the assessment strategy used for their programme of study by the provision of an assessment map detailing the range of examinations, assignments, practice-based and other assessments of proficiency that will be encountered and the criteria used to measure their academic and practice performance.</w:t>
            </w:r>
          </w:p>
          <w:p w:rsidR="00E351D2" w:rsidRDefault="00E351D2" w:rsidP="009B407A"/>
          <w:p w:rsidR="00926043" w:rsidRDefault="00926043" w:rsidP="009B407A"/>
          <w:p w:rsidR="00926043" w:rsidRDefault="00926043" w:rsidP="009B407A"/>
        </w:tc>
        <w:tc>
          <w:tcPr>
            <w:tcW w:w="4961" w:type="dxa"/>
          </w:tcPr>
          <w:p w:rsidR="00921B57" w:rsidRDefault="00921B57" w:rsidP="009B407A"/>
        </w:tc>
        <w:tc>
          <w:tcPr>
            <w:tcW w:w="2268" w:type="dxa"/>
          </w:tcPr>
          <w:p w:rsidR="00921B57" w:rsidRDefault="00921B57" w:rsidP="009B407A"/>
        </w:tc>
      </w:tr>
      <w:tr w:rsidR="00921B57" w:rsidTr="00CE55DD">
        <w:tc>
          <w:tcPr>
            <w:tcW w:w="440" w:type="dxa"/>
          </w:tcPr>
          <w:p w:rsidR="00921B57" w:rsidRDefault="00607E0E" w:rsidP="009B407A">
            <w:r>
              <w:t>5</w:t>
            </w:r>
          </w:p>
        </w:tc>
        <w:tc>
          <w:tcPr>
            <w:tcW w:w="6223" w:type="dxa"/>
          </w:tcPr>
          <w:p w:rsidR="00921B57" w:rsidRDefault="00E351D2" w:rsidP="009B407A">
            <w:r w:rsidRPr="00E351D2">
              <w:t>Assessment techniques are established as reliable and valid measurements of learning outcomes.</w:t>
            </w:r>
          </w:p>
          <w:p w:rsidR="00E351D2" w:rsidRDefault="00E351D2" w:rsidP="009B407A"/>
        </w:tc>
        <w:tc>
          <w:tcPr>
            <w:tcW w:w="4961" w:type="dxa"/>
          </w:tcPr>
          <w:p w:rsidR="00921B57" w:rsidRDefault="00921B57" w:rsidP="009B407A"/>
        </w:tc>
        <w:tc>
          <w:tcPr>
            <w:tcW w:w="2268" w:type="dxa"/>
          </w:tcPr>
          <w:p w:rsidR="00921B57" w:rsidRDefault="00921B57" w:rsidP="009B407A"/>
        </w:tc>
      </w:tr>
      <w:tr w:rsidR="00921B57" w:rsidTr="00CE55DD">
        <w:tc>
          <w:tcPr>
            <w:tcW w:w="440" w:type="dxa"/>
          </w:tcPr>
          <w:p w:rsidR="00921B57" w:rsidRDefault="00607E0E" w:rsidP="009B407A">
            <w:r>
              <w:t>6</w:t>
            </w:r>
          </w:p>
        </w:tc>
        <w:tc>
          <w:tcPr>
            <w:tcW w:w="6223" w:type="dxa"/>
          </w:tcPr>
          <w:p w:rsidR="00921B57" w:rsidRDefault="00E351D2" w:rsidP="009B407A">
            <w:r w:rsidRPr="00E351D2">
              <w:t>Assessments are based on a variety of strategies that are aligned with the subject area, practice placements learning environment, and stage of the educational programme and are consistent with module learning outcomes.</w:t>
            </w:r>
          </w:p>
          <w:p w:rsidR="00E351D2" w:rsidRDefault="00E351D2" w:rsidP="009B407A"/>
        </w:tc>
        <w:tc>
          <w:tcPr>
            <w:tcW w:w="4961" w:type="dxa"/>
          </w:tcPr>
          <w:p w:rsidR="00921B57" w:rsidRDefault="00921B57" w:rsidP="009B407A"/>
        </w:tc>
        <w:tc>
          <w:tcPr>
            <w:tcW w:w="2268" w:type="dxa"/>
          </w:tcPr>
          <w:p w:rsidR="00921B57" w:rsidRDefault="00921B57" w:rsidP="009B407A"/>
        </w:tc>
      </w:tr>
      <w:tr w:rsidR="00921B57" w:rsidTr="00CE55DD">
        <w:tc>
          <w:tcPr>
            <w:tcW w:w="440" w:type="dxa"/>
          </w:tcPr>
          <w:p w:rsidR="00921B57" w:rsidRDefault="00607E0E" w:rsidP="009B407A">
            <w:r>
              <w:t>7</w:t>
            </w:r>
          </w:p>
        </w:tc>
        <w:tc>
          <w:tcPr>
            <w:tcW w:w="6223" w:type="dxa"/>
          </w:tcPr>
          <w:p w:rsidR="00921B57" w:rsidRDefault="00E351D2" w:rsidP="009B407A">
            <w:r w:rsidRPr="00E351D2">
              <w:t>Assessment measures the integration and application of theory to the nursing care of people using health services that is learned throughout the programme. It requires the student to demonstrate competence within practice through the achievement of learning outcomes in both theory and practice.</w:t>
            </w:r>
          </w:p>
          <w:p w:rsidR="00E351D2" w:rsidRDefault="00E351D2" w:rsidP="009B407A"/>
        </w:tc>
        <w:tc>
          <w:tcPr>
            <w:tcW w:w="4961" w:type="dxa"/>
          </w:tcPr>
          <w:p w:rsidR="00921B57" w:rsidRDefault="00921B57" w:rsidP="009B407A"/>
        </w:tc>
        <w:tc>
          <w:tcPr>
            <w:tcW w:w="2268" w:type="dxa"/>
          </w:tcPr>
          <w:p w:rsidR="00921B57" w:rsidRDefault="00921B57" w:rsidP="009B407A"/>
        </w:tc>
      </w:tr>
      <w:tr w:rsidR="00921B57" w:rsidTr="00CE55DD">
        <w:tc>
          <w:tcPr>
            <w:tcW w:w="440" w:type="dxa"/>
          </w:tcPr>
          <w:p w:rsidR="00921B57" w:rsidRDefault="00607E0E" w:rsidP="009B407A">
            <w:r>
              <w:t>8</w:t>
            </w:r>
          </w:p>
        </w:tc>
        <w:tc>
          <w:tcPr>
            <w:tcW w:w="6223" w:type="dxa"/>
          </w:tcPr>
          <w:p w:rsidR="00921B57" w:rsidRDefault="00E351D2" w:rsidP="009B407A">
            <w:r w:rsidRPr="00E351D2">
              <w:t>Practice-based assessment of learning outcomes and competence is based on an explicit model or framework for competence assessment.</w:t>
            </w:r>
          </w:p>
          <w:p w:rsidR="00E351D2" w:rsidRDefault="00E351D2" w:rsidP="009B407A"/>
        </w:tc>
        <w:tc>
          <w:tcPr>
            <w:tcW w:w="4961" w:type="dxa"/>
          </w:tcPr>
          <w:p w:rsidR="00921B57" w:rsidRDefault="00921B57" w:rsidP="009B407A"/>
        </w:tc>
        <w:tc>
          <w:tcPr>
            <w:tcW w:w="2268" w:type="dxa"/>
          </w:tcPr>
          <w:p w:rsidR="00921B57" w:rsidRDefault="00921B57" w:rsidP="009B407A"/>
        </w:tc>
      </w:tr>
      <w:tr w:rsidR="00921B57" w:rsidTr="00CE55DD">
        <w:tc>
          <w:tcPr>
            <w:tcW w:w="440" w:type="dxa"/>
          </w:tcPr>
          <w:p w:rsidR="00921B57" w:rsidRDefault="00607E0E" w:rsidP="009B407A">
            <w:r>
              <w:t>9</w:t>
            </w:r>
          </w:p>
        </w:tc>
        <w:tc>
          <w:tcPr>
            <w:tcW w:w="6223" w:type="dxa"/>
          </w:tcPr>
          <w:p w:rsidR="00921B57" w:rsidRDefault="00E351D2" w:rsidP="009B407A">
            <w:r w:rsidRPr="00E351D2">
              <w:t>The grading criteria indicating the standard for a pass award is declared and made explicit for theoretical and clinical practice assessments</w:t>
            </w:r>
          </w:p>
          <w:p w:rsidR="00E351D2" w:rsidRDefault="00E351D2" w:rsidP="009B407A"/>
        </w:tc>
        <w:tc>
          <w:tcPr>
            <w:tcW w:w="4961" w:type="dxa"/>
          </w:tcPr>
          <w:p w:rsidR="00921B57" w:rsidRDefault="00921B57" w:rsidP="009B407A"/>
        </w:tc>
        <w:tc>
          <w:tcPr>
            <w:tcW w:w="2268" w:type="dxa"/>
          </w:tcPr>
          <w:p w:rsidR="00921B57" w:rsidRDefault="00921B57" w:rsidP="009B407A"/>
        </w:tc>
      </w:tr>
      <w:tr w:rsidR="00921B57" w:rsidTr="00CE55DD">
        <w:tc>
          <w:tcPr>
            <w:tcW w:w="440" w:type="dxa"/>
          </w:tcPr>
          <w:p w:rsidR="00921B57" w:rsidRDefault="00607E0E" w:rsidP="009B407A">
            <w:r>
              <w:t>10</w:t>
            </w:r>
          </w:p>
        </w:tc>
        <w:tc>
          <w:tcPr>
            <w:tcW w:w="6223" w:type="dxa"/>
          </w:tcPr>
          <w:p w:rsidR="00921B57" w:rsidRDefault="00E351D2" w:rsidP="009B407A">
            <w:r w:rsidRPr="00E351D2">
              <w:t>Module assessments have clear marking criteria that are available to students, internal and external examiners and academic staff.</w:t>
            </w:r>
          </w:p>
          <w:p w:rsidR="00E351D2" w:rsidRDefault="00E351D2" w:rsidP="009B407A"/>
        </w:tc>
        <w:tc>
          <w:tcPr>
            <w:tcW w:w="4961" w:type="dxa"/>
          </w:tcPr>
          <w:p w:rsidR="00921B57" w:rsidRDefault="00921B57" w:rsidP="009B407A"/>
        </w:tc>
        <w:tc>
          <w:tcPr>
            <w:tcW w:w="2268" w:type="dxa"/>
          </w:tcPr>
          <w:p w:rsidR="00921B57" w:rsidRDefault="00921B57" w:rsidP="009B407A"/>
        </w:tc>
      </w:tr>
      <w:tr w:rsidR="00921B57" w:rsidTr="00CE55DD">
        <w:tc>
          <w:tcPr>
            <w:tcW w:w="440" w:type="dxa"/>
          </w:tcPr>
          <w:p w:rsidR="00921B57" w:rsidRDefault="00607E0E" w:rsidP="009B407A">
            <w:r>
              <w:t>11</w:t>
            </w:r>
          </w:p>
        </w:tc>
        <w:tc>
          <w:tcPr>
            <w:tcW w:w="6223" w:type="dxa"/>
          </w:tcPr>
          <w:p w:rsidR="00921B57" w:rsidRDefault="00AE1909" w:rsidP="009B407A">
            <w:r w:rsidRPr="00AE1909">
              <w:t>Written exemplars of internal moderation being employed in the grading of module assessments are provided.</w:t>
            </w:r>
          </w:p>
          <w:p w:rsidR="00AE1909" w:rsidRDefault="00AE1909" w:rsidP="009B407A"/>
        </w:tc>
        <w:tc>
          <w:tcPr>
            <w:tcW w:w="4961" w:type="dxa"/>
          </w:tcPr>
          <w:p w:rsidR="00921B57" w:rsidRDefault="00921B57" w:rsidP="009B407A"/>
        </w:tc>
        <w:tc>
          <w:tcPr>
            <w:tcW w:w="2268" w:type="dxa"/>
          </w:tcPr>
          <w:p w:rsidR="00921B57" w:rsidRDefault="00921B57" w:rsidP="009B407A"/>
        </w:tc>
      </w:tr>
      <w:tr w:rsidR="00921B57" w:rsidTr="00CE55DD">
        <w:tc>
          <w:tcPr>
            <w:tcW w:w="440" w:type="dxa"/>
          </w:tcPr>
          <w:p w:rsidR="00921B57" w:rsidRDefault="00607E0E" w:rsidP="009B407A">
            <w:r>
              <w:t>12</w:t>
            </w:r>
          </w:p>
        </w:tc>
        <w:tc>
          <w:tcPr>
            <w:tcW w:w="6223" w:type="dxa"/>
          </w:tcPr>
          <w:p w:rsidR="00921B57" w:rsidRDefault="00AE1909" w:rsidP="009B407A">
            <w:r w:rsidRPr="00AE1909">
              <w:t>Policies governing student absence, non-submission of assessment work, non-attendance at examinations, mitigating circumstances and repeat arrangements are explicit.</w:t>
            </w:r>
          </w:p>
          <w:p w:rsidR="00AE1909" w:rsidRDefault="00AE1909" w:rsidP="009B407A"/>
        </w:tc>
        <w:tc>
          <w:tcPr>
            <w:tcW w:w="4961" w:type="dxa"/>
          </w:tcPr>
          <w:p w:rsidR="00921B57" w:rsidRDefault="00921B57" w:rsidP="009B407A"/>
        </w:tc>
        <w:tc>
          <w:tcPr>
            <w:tcW w:w="2268" w:type="dxa"/>
          </w:tcPr>
          <w:p w:rsidR="00921B57" w:rsidRDefault="00921B57" w:rsidP="009B407A"/>
        </w:tc>
      </w:tr>
      <w:tr w:rsidR="00921B57" w:rsidTr="00CE55DD">
        <w:tc>
          <w:tcPr>
            <w:tcW w:w="440" w:type="dxa"/>
          </w:tcPr>
          <w:p w:rsidR="00921B57" w:rsidRDefault="00607E0E" w:rsidP="009B407A">
            <w:r>
              <w:t>13</w:t>
            </w:r>
          </w:p>
        </w:tc>
        <w:tc>
          <w:tcPr>
            <w:tcW w:w="6223" w:type="dxa"/>
          </w:tcPr>
          <w:p w:rsidR="00921B57" w:rsidRDefault="00AE1909" w:rsidP="009B407A">
            <w:r w:rsidRPr="00AE1909">
              <w:t>Assessments are subject to administrative checks to verify accuracy of procedures used.</w:t>
            </w:r>
          </w:p>
          <w:p w:rsidR="001A1C4C" w:rsidRDefault="001A1C4C" w:rsidP="009B407A"/>
          <w:p w:rsidR="00AE1909" w:rsidRDefault="00AE1909" w:rsidP="009B407A"/>
        </w:tc>
        <w:tc>
          <w:tcPr>
            <w:tcW w:w="4961" w:type="dxa"/>
          </w:tcPr>
          <w:p w:rsidR="00921B57" w:rsidRDefault="00921B57" w:rsidP="009B407A"/>
        </w:tc>
        <w:tc>
          <w:tcPr>
            <w:tcW w:w="2268" w:type="dxa"/>
          </w:tcPr>
          <w:p w:rsidR="00921B57" w:rsidRDefault="00921B57" w:rsidP="009B407A"/>
        </w:tc>
      </w:tr>
      <w:tr w:rsidR="00921B57" w:rsidTr="00CE55DD">
        <w:tc>
          <w:tcPr>
            <w:tcW w:w="440" w:type="dxa"/>
          </w:tcPr>
          <w:p w:rsidR="00921B57" w:rsidRDefault="00607E0E" w:rsidP="009B407A">
            <w:r>
              <w:t>14</w:t>
            </w:r>
          </w:p>
        </w:tc>
        <w:tc>
          <w:tcPr>
            <w:tcW w:w="6223" w:type="dxa"/>
          </w:tcPr>
          <w:p w:rsidR="00921B57" w:rsidRDefault="00AE1909" w:rsidP="009B407A">
            <w:r w:rsidRPr="00AE1909">
              <w:t>All assessment results are considered and approved by a properly constituted Examination Board in accordance with the HEI’s policies and Assessment and Examination Regulations.</w:t>
            </w:r>
          </w:p>
          <w:p w:rsidR="00AE1909" w:rsidRDefault="00AE1909" w:rsidP="009B407A"/>
        </w:tc>
        <w:tc>
          <w:tcPr>
            <w:tcW w:w="4961" w:type="dxa"/>
          </w:tcPr>
          <w:p w:rsidR="00921B57" w:rsidRDefault="00921B57" w:rsidP="009B407A"/>
        </w:tc>
        <w:tc>
          <w:tcPr>
            <w:tcW w:w="2268" w:type="dxa"/>
          </w:tcPr>
          <w:p w:rsidR="00921B57" w:rsidRDefault="00921B57" w:rsidP="009B407A"/>
        </w:tc>
      </w:tr>
      <w:tr w:rsidR="00845946" w:rsidTr="00CE55DD">
        <w:tc>
          <w:tcPr>
            <w:tcW w:w="440" w:type="dxa"/>
          </w:tcPr>
          <w:p w:rsidR="00845946" w:rsidRDefault="00607E0E" w:rsidP="009B407A">
            <w:r>
              <w:t>15</w:t>
            </w:r>
          </w:p>
        </w:tc>
        <w:tc>
          <w:tcPr>
            <w:tcW w:w="6223" w:type="dxa"/>
          </w:tcPr>
          <w:p w:rsidR="00845946" w:rsidRDefault="00AE1909" w:rsidP="009B407A">
            <w:r w:rsidRPr="00AE1909">
              <w:t>Information is provided to students in a timely and accessible manner as to the processes for obtaining results, viewing scripts, securing module lecturer and advisor of studies feedback to students, and requesting a recheck of marks.</w:t>
            </w:r>
          </w:p>
          <w:p w:rsidR="00AE1909" w:rsidRDefault="00AE1909" w:rsidP="009B407A"/>
        </w:tc>
        <w:tc>
          <w:tcPr>
            <w:tcW w:w="4961" w:type="dxa"/>
          </w:tcPr>
          <w:p w:rsidR="00845946" w:rsidRDefault="00845946" w:rsidP="009B407A"/>
        </w:tc>
        <w:tc>
          <w:tcPr>
            <w:tcW w:w="2268" w:type="dxa"/>
          </w:tcPr>
          <w:p w:rsidR="00845946" w:rsidRDefault="00845946" w:rsidP="009B407A"/>
        </w:tc>
      </w:tr>
      <w:tr w:rsidR="00921B57" w:rsidTr="00CE55DD">
        <w:tc>
          <w:tcPr>
            <w:tcW w:w="440" w:type="dxa"/>
          </w:tcPr>
          <w:p w:rsidR="00921B57" w:rsidRDefault="00607E0E" w:rsidP="009B407A">
            <w:r>
              <w:t>16</w:t>
            </w:r>
          </w:p>
        </w:tc>
        <w:tc>
          <w:tcPr>
            <w:tcW w:w="6223" w:type="dxa"/>
          </w:tcPr>
          <w:p w:rsidR="00921B57" w:rsidRDefault="00AE1909" w:rsidP="009B407A">
            <w:r w:rsidRPr="00AE1909">
              <w:t>Assessment regulations relating to compensation, supplemental examinations, appeal mechanisms and conditions for continuance on the programme are explicit and made known to students and key stakeholders.</w:t>
            </w:r>
          </w:p>
          <w:p w:rsidR="00AE1909" w:rsidRDefault="00AE1909" w:rsidP="009B407A"/>
        </w:tc>
        <w:tc>
          <w:tcPr>
            <w:tcW w:w="4961" w:type="dxa"/>
          </w:tcPr>
          <w:p w:rsidR="00921B57" w:rsidRDefault="00921B57" w:rsidP="009B407A"/>
        </w:tc>
        <w:tc>
          <w:tcPr>
            <w:tcW w:w="2268" w:type="dxa"/>
          </w:tcPr>
          <w:p w:rsidR="00921B57" w:rsidRDefault="00921B57" w:rsidP="009B407A"/>
        </w:tc>
      </w:tr>
      <w:tr w:rsidR="00921B57" w:rsidTr="00CE55DD">
        <w:tc>
          <w:tcPr>
            <w:tcW w:w="440" w:type="dxa"/>
          </w:tcPr>
          <w:p w:rsidR="00921B57" w:rsidRDefault="00607E0E" w:rsidP="009B407A">
            <w:r>
              <w:t>17</w:t>
            </w:r>
          </w:p>
        </w:tc>
        <w:tc>
          <w:tcPr>
            <w:tcW w:w="6223" w:type="dxa"/>
          </w:tcPr>
          <w:p w:rsidR="00921B57" w:rsidRDefault="00AE1909" w:rsidP="009B407A">
            <w:r w:rsidRPr="00AE1909">
              <w:t>Programme criteria specify pass/fail standards, compensation, and maximum number of supplemental attempts.</w:t>
            </w:r>
          </w:p>
          <w:p w:rsidR="00AE1909" w:rsidRDefault="00AE1909" w:rsidP="009B407A"/>
        </w:tc>
        <w:tc>
          <w:tcPr>
            <w:tcW w:w="4961" w:type="dxa"/>
          </w:tcPr>
          <w:p w:rsidR="00921B57" w:rsidRDefault="00921B57" w:rsidP="009B407A"/>
        </w:tc>
        <w:tc>
          <w:tcPr>
            <w:tcW w:w="2268" w:type="dxa"/>
          </w:tcPr>
          <w:p w:rsidR="00921B57" w:rsidRDefault="00921B57" w:rsidP="009B407A"/>
        </w:tc>
      </w:tr>
      <w:tr w:rsidR="00921B57" w:rsidTr="00CE55DD">
        <w:tc>
          <w:tcPr>
            <w:tcW w:w="440" w:type="dxa"/>
          </w:tcPr>
          <w:p w:rsidR="00921B57" w:rsidRDefault="00607E0E" w:rsidP="009B407A">
            <w:r>
              <w:t>18</w:t>
            </w:r>
          </w:p>
        </w:tc>
        <w:tc>
          <w:tcPr>
            <w:tcW w:w="6223" w:type="dxa"/>
          </w:tcPr>
          <w:p w:rsidR="00921B57" w:rsidRDefault="00AE1909" w:rsidP="009B407A">
            <w:r w:rsidRPr="00AE1909">
              <w:t>The assessment strategy does not allow compensation between theoretical and clinical practice assessments.</w:t>
            </w:r>
          </w:p>
          <w:p w:rsidR="00AE1909" w:rsidRDefault="00AE1909" w:rsidP="009B407A"/>
        </w:tc>
        <w:tc>
          <w:tcPr>
            <w:tcW w:w="4961" w:type="dxa"/>
          </w:tcPr>
          <w:p w:rsidR="00921B57" w:rsidRDefault="00921B57" w:rsidP="009B407A"/>
        </w:tc>
        <w:tc>
          <w:tcPr>
            <w:tcW w:w="2268" w:type="dxa"/>
          </w:tcPr>
          <w:p w:rsidR="00921B57" w:rsidRDefault="00921B57" w:rsidP="009B407A"/>
        </w:tc>
      </w:tr>
      <w:tr w:rsidR="00921B57" w:rsidTr="00CE55DD">
        <w:tc>
          <w:tcPr>
            <w:tcW w:w="440" w:type="dxa"/>
          </w:tcPr>
          <w:p w:rsidR="00921B57" w:rsidRDefault="00607E0E" w:rsidP="009B407A">
            <w:r>
              <w:t>19</w:t>
            </w:r>
          </w:p>
        </w:tc>
        <w:tc>
          <w:tcPr>
            <w:tcW w:w="6223" w:type="dxa"/>
          </w:tcPr>
          <w:p w:rsidR="00921B57" w:rsidRDefault="00AE1909" w:rsidP="009B407A">
            <w:r w:rsidRPr="00AE1909">
              <w:t>There is evidence that External Examiners are appointed by the Higher Education Institution in accordance with its procedures and with criteria specified by the NMBI for the experience and expertise of examiners of professional nursing programmes</w:t>
            </w:r>
          </w:p>
          <w:p w:rsidR="00AE1909" w:rsidRDefault="00AE1909" w:rsidP="009B407A"/>
        </w:tc>
        <w:tc>
          <w:tcPr>
            <w:tcW w:w="4961" w:type="dxa"/>
          </w:tcPr>
          <w:p w:rsidR="00921B57" w:rsidRDefault="00921B57" w:rsidP="009B407A"/>
        </w:tc>
        <w:tc>
          <w:tcPr>
            <w:tcW w:w="2268" w:type="dxa"/>
          </w:tcPr>
          <w:p w:rsidR="00921B57" w:rsidRDefault="00921B57" w:rsidP="009B407A"/>
        </w:tc>
      </w:tr>
      <w:tr w:rsidR="00921B57" w:rsidTr="00CE55DD">
        <w:tc>
          <w:tcPr>
            <w:tcW w:w="440" w:type="dxa"/>
          </w:tcPr>
          <w:p w:rsidR="00921B57" w:rsidRDefault="00607E0E" w:rsidP="009B407A">
            <w:r>
              <w:t>20</w:t>
            </w:r>
          </w:p>
        </w:tc>
        <w:tc>
          <w:tcPr>
            <w:tcW w:w="6223" w:type="dxa"/>
          </w:tcPr>
          <w:p w:rsidR="00921B57" w:rsidRDefault="00AE1909" w:rsidP="009B407A">
            <w:r w:rsidRPr="00AE1909">
              <w:t>External examiners’ reports attest to the External Examiner’s role in reviewing the content, structure, organisation and assessment of the nursing programme in terms of equity, fairness and transparency.</w:t>
            </w:r>
          </w:p>
          <w:p w:rsidR="00AE1909" w:rsidRDefault="00AE1909" w:rsidP="009B407A"/>
        </w:tc>
        <w:tc>
          <w:tcPr>
            <w:tcW w:w="4961" w:type="dxa"/>
          </w:tcPr>
          <w:p w:rsidR="00921B57" w:rsidRDefault="00921B57" w:rsidP="009B407A"/>
        </w:tc>
        <w:tc>
          <w:tcPr>
            <w:tcW w:w="2268" w:type="dxa"/>
          </w:tcPr>
          <w:p w:rsidR="00921B57" w:rsidRDefault="00921B57" w:rsidP="009B407A"/>
        </w:tc>
      </w:tr>
      <w:tr w:rsidR="00921B57" w:rsidTr="00CE55DD">
        <w:tc>
          <w:tcPr>
            <w:tcW w:w="440" w:type="dxa"/>
          </w:tcPr>
          <w:p w:rsidR="00921B57" w:rsidRDefault="00AE1909" w:rsidP="009B407A">
            <w:r>
              <w:t>21</w:t>
            </w:r>
          </w:p>
        </w:tc>
        <w:tc>
          <w:tcPr>
            <w:tcW w:w="6223" w:type="dxa"/>
          </w:tcPr>
          <w:p w:rsidR="00921B57" w:rsidRDefault="001B34C3" w:rsidP="009B407A">
            <w:r w:rsidRPr="001B34C3">
              <w:t>There is evidence of the quality assurance role of the external examiner in ensuring that decision-making by examination boards of the Higher Education Institution is rigorous, fair and consistent, and in programme review.</w:t>
            </w:r>
          </w:p>
          <w:p w:rsidR="001B34C3" w:rsidRDefault="001B34C3" w:rsidP="009B407A"/>
          <w:p w:rsidR="001A1C4C" w:rsidRDefault="001A1C4C" w:rsidP="009B407A"/>
        </w:tc>
        <w:tc>
          <w:tcPr>
            <w:tcW w:w="4961" w:type="dxa"/>
          </w:tcPr>
          <w:p w:rsidR="00921B57" w:rsidRDefault="00921B57" w:rsidP="009B407A"/>
        </w:tc>
        <w:tc>
          <w:tcPr>
            <w:tcW w:w="2268" w:type="dxa"/>
          </w:tcPr>
          <w:p w:rsidR="00921B57" w:rsidRDefault="00921B57" w:rsidP="009B407A"/>
        </w:tc>
      </w:tr>
      <w:tr w:rsidR="00AE1909" w:rsidTr="00CE55DD">
        <w:tc>
          <w:tcPr>
            <w:tcW w:w="440" w:type="dxa"/>
          </w:tcPr>
          <w:p w:rsidR="00AE1909" w:rsidRDefault="00AE1909" w:rsidP="009B407A">
            <w:r>
              <w:t>22</w:t>
            </w:r>
          </w:p>
        </w:tc>
        <w:tc>
          <w:tcPr>
            <w:tcW w:w="6223" w:type="dxa"/>
          </w:tcPr>
          <w:p w:rsidR="00AE1909" w:rsidRDefault="001B34C3" w:rsidP="009B407A">
            <w:r w:rsidRPr="001B34C3">
              <w:t>The Higher Education Institution and its Associated Health Care Provider(s) provide an annual report on the educational programmes by including the external examiner’s report or a summary to the Nursing and Midwifery Board of Ireland.</w:t>
            </w:r>
          </w:p>
          <w:p w:rsidR="001B34C3" w:rsidRDefault="001B34C3" w:rsidP="009B407A"/>
        </w:tc>
        <w:tc>
          <w:tcPr>
            <w:tcW w:w="4961" w:type="dxa"/>
          </w:tcPr>
          <w:p w:rsidR="00AE1909" w:rsidRDefault="00AE1909" w:rsidP="009B407A"/>
        </w:tc>
        <w:tc>
          <w:tcPr>
            <w:tcW w:w="2268" w:type="dxa"/>
          </w:tcPr>
          <w:p w:rsidR="00AE1909" w:rsidRDefault="00AE1909" w:rsidP="009B407A"/>
        </w:tc>
      </w:tr>
      <w:tr w:rsidR="00AE1909" w:rsidTr="00CE55DD">
        <w:tc>
          <w:tcPr>
            <w:tcW w:w="440" w:type="dxa"/>
          </w:tcPr>
          <w:p w:rsidR="00AE1909" w:rsidRDefault="00AE1909" w:rsidP="009B407A">
            <w:r>
              <w:t>23</w:t>
            </w:r>
          </w:p>
        </w:tc>
        <w:tc>
          <w:tcPr>
            <w:tcW w:w="6223" w:type="dxa"/>
          </w:tcPr>
          <w:p w:rsidR="00AE1909" w:rsidRDefault="001B34C3" w:rsidP="009B407A">
            <w:r w:rsidRPr="001B34C3">
              <w:t>The assessment strategy ensures that graduates meet the intended programme learning outcomes and competencies for proficient practice as a Registered Nurse in a specified division of the professional register.</w:t>
            </w:r>
          </w:p>
          <w:p w:rsidR="001B34C3" w:rsidRDefault="001B34C3" w:rsidP="009B407A"/>
        </w:tc>
        <w:tc>
          <w:tcPr>
            <w:tcW w:w="4961" w:type="dxa"/>
          </w:tcPr>
          <w:p w:rsidR="00AE1909" w:rsidRDefault="00AE1909" w:rsidP="009B407A"/>
        </w:tc>
        <w:tc>
          <w:tcPr>
            <w:tcW w:w="2268" w:type="dxa"/>
          </w:tcPr>
          <w:p w:rsidR="00AE1909" w:rsidRDefault="00AE1909" w:rsidP="009B407A"/>
        </w:tc>
      </w:tr>
    </w:tbl>
    <w:p w:rsidR="00921B57" w:rsidRDefault="00921B57" w:rsidP="00FD7D66"/>
    <w:p w:rsidR="001A1C4C" w:rsidRDefault="001A1C4C">
      <w:pPr>
        <w:rPr>
          <w:rFonts w:asciiTheme="majorHAnsi" w:eastAsiaTheme="majorEastAsia" w:hAnsiTheme="majorHAnsi" w:cstheme="majorBidi"/>
          <w:color w:val="2E74B5" w:themeColor="accent1" w:themeShade="BF"/>
          <w:sz w:val="32"/>
          <w:szCs w:val="32"/>
        </w:rPr>
      </w:pPr>
      <w:r>
        <w:br w:type="page"/>
      </w:r>
    </w:p>
    <w:p w:rsidR="00823BB8" w:rsidRDefault="00823BB8" w:rsidP="00823BB8">
      <w:pPr>
        <w:pStyle w:val="Heading1"/>
      </w:pPr>
      <w:r>
        <w:t xml:space="preserve">3.2.6 Practice Placements </w:t>
      </w:r>
    </w:p>
    <w:p w:rsidR="001A1C4C" w:rsidRDefault="001A1C4C" w:rsidP="00823BB8">
      <w:pPr>
        <w:rPr>
          <w:b/>
          <w:color w:val="FF0000"/>
        </w:rPr>
      </w:pPr>
    </w:p>
    <w:p w:rsidR="001A1C4C" w:rsidRPr="001A1C4C" w:rsidRDefault="00823BB8" w:rsidP="00823BB8">
      <w:r w:rsidRPr="001A1C4C">
        <w:rPr>
          <w:b/>
        </w:rPr>
        <w:t>Criterion</w:t>
      </w:r>
      <w:r w:rsidRPr="001A1C4C">
        <w:t>:</w:t>
      </w:r>
      <w:r w:rsidR="00E543D7" w:rsidRPr="001A1C4C">
        <w:t xml:space="preserve"> </w:t>
      </w:r>
    </w:p>
    <w:p w:rsidR="00823BB8" w:rsidRPr="001A1C4C" w:rsidRDefault="00823BB8" w:rsidP="00823BB8">
      <w:r w:rsidRPr="001A1C4C">
        <w:t xml:space="preserve">The HEI and its AHCP(s) work in partnership to </w:t>
      </w:r>
      <w:proofErr w:type="gramStart"/>
      <w:r w:rsidRPr="001A1C4C">
        <w:t>select,</w:t>
      </w:r>
      <w:proofErr w:type="gramEnd"/>
      <w:r w:rsidRPr="001A1C4C">
        <w:t xml:space="preserve"> develop and provide appropriate practice placements for students. Learning opportunities are provided to ensure the student gains the breadth of experience supporting the curriculum aims developing the competences required for registration.</w:t>
      </w:r>
    </w:p>
    <w:p w:rsidR="001A1C4C" w:rsidRPr="001A1C4C" w:rsidRDefault="00823BB8" w:rsidP="00823BB8">
      <w:r w:rsidRPr="001A1C4C">
        <w:rPr>
          <w:b/>
        </w:rPr>
        <w:t>Standard</w:t>
      </w:r>
      <w:r w:rsidRPr="001A1C4C">
        <w:t xml:space="preserve">: </w:t>
      </w:r>
    </w:p>
    <w:p w:rsidR="00823BB8" w:rsidRPr="001A1C4C" w:rsidRDefault="00823BB8" w:rsidP="00823BB8">
      <w:pPr>
        <w:rPr>
          <w:b/>
        </w:rPr>
      </w:pPr>
      <w:r w:rsidRPr="001A1C4C">
        <w:rPr>
          <w:b/>
        </w:rPr>
        <w:t>Practice placement experience is selected by the HEI in partnership with its AHCP(s) supporting the curriculum aims, in accordance with EU Directives and NMBI Standards and Requirements.</w:t>
      </w:r>
    </w:p>
    <w:tbl>
      <w:tblPr>
        <w:tblStyle w:val="TableGrid"/>
        <w:tblW w:w="13892" w:type="dxa"/>
        <w:tblInd w:w="-601" w:type="dxa"/>
        <w:tblLook w:val="04A0" w:firstRow="1" w:lastRow="0" w:firstColumn="1" w:lastColumn="0" w:noHBand="0" w:noVBand="1"/>
      </w:tblPr>
      <w:tblGrid>
        <w:gridCol w:w="440"/>
        <w:gridCol w:w="6223"/>
        <w:gridCol w:w="4961"/>
        <w:gridCol w:w="2268"/>
      </w:tblGrid>
      <w:tr w:rsidR="001A1C4C" w:rsidTr="00CE55DD">
        <w:tc>
          <w:tcPr>
            <w:tcW w:w="440" w:type="dxa"/>
          </w:tcPr>
          <w:p w:rsidR="001A1C4C" w:rsidRDefault="001A1C4C" w:rsidP="009B407A"/>
        </w:tc>
        <w:tc>
          <w:tcPr>
            <w:tcW w:w="6223" w:type="dxa"/>
          </w:tcPr>
          <w:p w:rsidR="001A1C4C" w:rsidRPr="00C64FF7" w:rsidRDefault="001A1C4C" w:rsidP="009E3A56">
            <w:pPr>
              <w:jc w:val="center"/>
              <w:rPr>
                <w:b/>
              </w:rPr>
            </w:pPr>
            <w:r>
              <w:rPr>
                <w:b/>
              </w:rPr>
              <w:t>Indicators</w:t>
            </w:r>
          </w:p>
        </w:tc>
        <w:tc>
          <w:tcPr>
            <w:tcW w:w="4961" w:type="dxa"/>
          </w:tcPr>
          <w:p w:rsidR="001A1C4C" w:rsidRPr="00C64FF7" w:rsidRDefault="001A1C4C" w:rsidP="009E3A56">
            <w:pPr>
              <w:jc w:val="center"/>
              <w:rPr>
                <w:b/>
              </w:rPr>
            </w:pPr>
            <w:r w:rsidRPr="00C64FF7">
              <w:rPr>
                <w:b/>
              </w:rPr>
              <w:t>Evidence</w:t>
            </w:r>
          </w:p>
        </w:tc>
        <w:tc>
          <w:tcPr>
            <w:tcW w:w="2268" w:type="dxa"/>
          </w:tcPr>
          <w:p w:rsidR="001A1C4C" w:rsidRDefault="001A1C4C" w:rsidP="009E3A56">
            <w:pPr>
              <w:jc w:val="center"/>
              <w:rPr>
                <w:b/>
              </w:rPr>
            </w:pPr>
            <w:r w:rsidRPr="00C64FF7">
              <w:rPr>
                <w:b/>
              </w:rPr>
              <w:t xml:space="preserve">Reference page </w:t>
            </w:r>
          </w:p>
          <w:p w:rsidR="001A1C4C" w:rsidRPr="00C64FF7" w:rsidRDefault="001A1C4C" w:rsidP="009E3A56">
            <w:pPr>
              <w:jc w:val="center"/>
              <w:rPr>
                <w:b/>
              </w:rPr>
            </w:pPr>
            <w:r w:rsidRPr="00C64FF7">
              <w:rPr>
                <w:b/>
              </w:rPr>
              <w:t>in Document</w:t>
            </w:r>
          </w:p>
        </w:tc>
      </w:tr>
      <w:tr w:rsidR="00921B57" w:rsidTr="00CE55DD">
        <w:tc>
          <w:tcPr>
            <w:tcW w:w="440" w:type="dxa"/>
          </w:tcPr>
          <w:p w:rsidR="00921B57" w:rsidRDefault="00830854" w:rsidP="009B407A">
            <w:r>
              <w:t>1</w:t>
            </w:r>
          </w:p>
        </w:tc>
        <w:tc>
          <w:tcPr>
            <w:tcW w:w="6223" w:type="dxa"/>
          </w:tcPr>
          <w:p w:rsidR="00921B57" w:rsidRDefault="008E5E0D" w:rsidP="009B407A">
            <w:r w:rsidRPr="008E5E0D">
              <w:t>HEI’s and AHCP’s are committed to monitor and support the quality of the learning environment in all practice placements in order to ensure an optimum learning environment for students. This commitment is outlined in the Memorandum of Understanding (M.o.U.).</w:t>
            </w:r>
          </w:p>
          <w:p w:rsidR="008E5E0D" w:rsidRDefault="008E5E0D" w:rsidP="009B407A"/>
        </w:tc>
        <w:tc>
          <w:tcPr>
            <w:tcW w:w="4961" w:type="dxa"/>
          </w:tcPr>
          <w:p w:rsidR="00921B57" w:rsidRDefault="00921B57" w:rsidP="009B407A"/>
        </w:tc>
        <w:tc>
          <w:tcPr>
            <w:tcW w:w="2268" w:type="dxa"/>
          </w:tcPr>
          <w:p w:rsidR="00921B57" w:rsidRDefault="00921B57" w:rsidP="009B407A"/>
        </w:tc>
      </w:tr>
      <w:tr w:rsidR="00921B57" w:rsidTr="00CE55DD">
        <w:tc>
          <w:tcPr>
            <w:tcW w:w="440" w:type="dxa"/>
          </w:tcPr>
          <w:p w:rsidR="00921B57" w:rsidRDefault="00830854" w:rsidP="009B407A">
            <w:r>
              <w:t>2</w:t>
            </w:r>
          </w:p>
        </w:tc>
        <w:tc>
          <w:tcPr>
            <w:tcW w:w="6223" w:type="dxa"/>
          </w:tcPr>
          <w:p w:rsidR="00921B57" w:rsidRDefault="008E5E0D" w:rsidP="009B407A">
            <w:r w:rsidRPr="008E5E0D">
              <w:t>The M.o.U. details the system for academic liaison and engagement with practice sites to support undergraduate practice based learning.</w:t>
            </w:r>
          </w:p>
          <w:p w:rsidR="008E5E0D" w:rsidRDefault="008E5E0D" w:rsidP="009B407A"/>
        </w:tc>
        <w:tc>
          <w:tcPr>
            <w:tcW w:w="4961" w:type="dxa"/>
          </w:tcPr>
          <w:p w:rsidR="00921B57" w:rsidRDefault="00921B57" w:rsidP="009B407A"/>
        </w:tc>
        <w:tc>
          <w:tcPr>
            <w:tcW w:w="2268" w:type="dxa"/>
          </w:tcPr>
          <w:p w:rsidR="00921B57" w:rsidRDefault="00921B57" w:rsidP="009B407A"/>
        </w:tc>
      </w:tr>
      <w:tr w:rsidR="00921B57" w:rsidTr="00CE55DD">
        <w:tc>
          <w:tcPr>
            <w:tcW w:w="440" w:type="dxa"/>
          </w:tcPr>
          <w:p w:rsidR="00921B57" w:rsidRDefault="00830854" w:rsidP="009B407A">
            <w:r>
              <w:t>3</w:t>
            </w:r>
          </w:p>
        </w:tc>
        <w:tc>
          <w:tcPr>
            <w:tcW w:w="6223" w:type="dxa"/>
          </w:tcPr>
          <w:p w:rsidR="00921B57" w:rsidRDefault="008E5E0D" w:rsidP="009B407A">
            <w:r w:rsidRPr="008E5E0D">
              <w:t>Practice placements provide students with the appropriate learning environments to support the development and achievement of their competencies; placement selection must be subject to ongoing review and monitoring by the HEI and AHCP(s) given the dynamic nature of health services provision.</w:t>
            </w:r>
          </w:p>
          <w:p w:rsidR="008E5E0D" w:rsidRDefault="008E5E0D" w:rsidP="009B407A"/>
        </w:tc>
        <w:tc>
          <w:tcPr>
            <w:tcW w:w="4961" w:type="dxa"/>
          </w:tcPr>
          <w:p w:rsidR="00921B57" w:rsidRDefault="00921B57" w:rsidP="009B407A"/>
        </w:tc>
        <w:tc>
          <w:tcPr>
            <w:tcW w:w="2268" w:type="dxa"/>
          </w:tcPr>
          <w:p w:rsidR="00921B57" w:rsidRDefault="00921B57" w:rsidP="009B407A"/>
        </w:tc>
      </w:tr>
      <w:tr w:rsidR="00921B57" w:rsidTr="00CE55DD">
        <w:tc>
          <w:tcPr>
            <w:tcW w:w="440" w:type="dxa"/>
          </w:tcPr>
          <w:p w:rsidR="00921B57" w:rsidRDefault="00830854" w:rsidP="009B407A">
            <w:r>
              <w:t>4</w:t>
            </w:r>
          </w:p>
        </w:tc>
        <w:tc>
          <w:tcPr>
            <w:tcW w:w="6223" w:type="dxa"/>
          </w:tcPr>
          <w:p w:rsidR="00921B57" w:rsidRDefault="008E5E0D" w:rsidP="009B407A">
            <w:r w:rsidRPr="008E5E0D">
              <w:t>All practice placements are audited in order to assess and ensure their suitability as quality learning environments, in accordance with the NMBI Standards and requirements for programme approval.</w:t>
            </w:r>
          </w:p>
          <w:p w:rsidR="008E5E0D" w:rsidRDefault="008E5E0D" w:rsidP="009B407A"/>
        </w:tc>
        <w:tc>
          <w:tcPr>
            <w:tcW w:w="4961" w:type="dxa"/>
          </w:tcPr>
          <w:p w:rsidR="00921B57" w:rsidRDefault="00921B57" w:rsidP="009B407A"/>
        </w:tc>
        <w:tc>
          <w:tcPr>
            <w:tcW w:w="2268" w:type="dxa"/>
          </w:tcPr>
          <w:p w:rsidR="00921B57" w:rsidRDefault="00921B57" w:rsidP="009B407A"/>
        </w:tc>
      </w:tr>
      <w:tr w:rsidR="00921B57" w:rsidTr="00CE55DD">
        <w:tc>
          <w:tcPr>
            <w:tcW w:w="440" w:type="dxa"/>
          </w:tcPr>
          <w:p w:rsidR="00921B57" w:rsidRDefault="00830854" w:rsidP="009B407A">
            <w:r>
              <w:t>5</w:t>
            </w:r>
          </w:p>
        </w:tc>
        <w:tc>
          <w:tcPr>
            <w:tcW w:w="6223" w:type="dxa"/>
          </w:tcPr>
          <w:p w:rsidR="00921B57" w:rsidRDefault="008E5E0D" w:rsidP="009B407A">
            <w:r w:rsidRPr="008E5E0D">
              <w:t>Practice Placements are selected to reflect the breadth and diversity of the educational program and the division of the register, encompassing the scope of settings in which the specified division of nursing normally operates.</w:t>
            </w:r>
          </w:p>
          <w:p w:rsidR="008E5E0D" w:rsidRDefault="008E5E0D" w:rsidP="009B407A"/>
        </w:tc>
        <w:tc>
          <w:tcPr>
            <w:tcW w:w="4961" w:type="dxa"/>
          </w:tcPr>
          <w:p w:rsidR="00921B57" w:rsidRDefault="00921B57" w:rsidP="009B407A"/>
        </w:tc>
        <w:tc>
          <w:tcPr>
            <w:tcW w:w="2268" w:type="dxa"/>
          </w:tcPr>
          <w:p w:rsidR="00921B57" w:rsidRDefault="00921B57" w:rsidP="009B407A"/>
        </w:tc>
      </w:tr>
      <w:tr w:rsidR="00921B57" w:rsidTr="00CE55DD">
        <w:tc>
          <w:tcPr>
            <w:tcW w:w="440" w:type="dxa"/>
          </w:tcPr>
          <w:p w:rsidR="00921B57" w:rsidRDefault="00830854" w:rsidP="009B407A">
            <w:r>
              <w:t>6</w:t>
            </w:r>
          </w:p>
        </w:tc>
        <w:tc>
          <w:tcPr>
            <w:tcW w:w="6223" w:type="dxa"/>
          </w:tcPr>
          <w:p w:rsidR="00921B57" w:rsidRDefault="008E5E0D" w:rsidP="009B407A">
            <w:r w:rsidRPr="008E5E0D">
              <w:t>Where learning opportunities occur under the supervision of other members of the multidisciplinary team, allied health, educational and social care professionals, such experiences are monitored by a registered nurse and the placement’s final assessment process allows for the involvement of a Registered Nurse.</w:t>
            </w:r>
          </w:p>
          <w:p w:rsidR="008E5E0D" w:rsidRDefault="008E5E0D" w:rsidP="009B407A"/>
        </w:tc>
        <w:tc>
          <w:tcPr>
            <w:tcW w:w="4961" w:type="dxa"/>
          </w:tcPr>
          <w:p w:rsidR="00921B57" w:rsidRDefault="00921B57" w:rsidP="009B407A"/>
        </w:tc>
        <w:tc>
          <w:tcPr>
            <w:tcW w:w="2268" w:type="dxa"/>
          </w:tcPr>
          <w:p w:rsidR="00921B57" w:rsidRDefault="00921B57" w:rsidP="009B407A"/>
        </w:tc>
      </w:tr>
      <w:tr w:rsidR="00921B57" w:rsidTr="00CE55DD">
        <w:tc>
          <w:tcPr>
            <w:tcW w:w="440" w:type="dxa"/>
          </w:tcPr>
          <w:p w:rsidR="00921B57" w:rsidRDefault="00830854" w:rsidP="009B407A">
            <w:r>
              <w:t>7</w:t>
            </w:r>
          </w:p>
        </w:tc>
        <w:tc>
          <w:tcPr>
            <w:tcW w:w="6223" w:type="dxa"/>
          </w:tcPr>
          <w:p w:rsidR="00921B57" w:rsidRDefault="008E5E0D" w:rsidP="009B407A">
            <w:r w:rsidRPr="008E5E0D">
              <w:t>HEI’s have a framework in place for students to raise concerns about the perceived safety of the practice learning environment. The HEI’s have a formal structure in place, in agreement with their AHCP’s, to follow up such reports with clinical sites concerned</w:t>
            </w:r>
            <w:r w:rsidR="001D5319">
              <w:t>.</w:t>
            </w:r>
          </w:p>
          <w:p w:rsidR="008E5E0D" w:rsidRDefault="008E5E0D" w:rsidP="009B407A"/>
        </w:tc>
        <w:tc>
          <w:tcPr>
            <w:tcW w:w="4961" w:type="dxa"/>
          </w:tcPr>
          <w:p w:rsidR="00921B57" w:rsidRDefault="00921B57" w:rsidP="009B407A"/>
        </w:tc>
        <w:tc>
          <w:tcPr>
            <w:tcW w:w="2268" w:type="dxa"/>
          </w:tcPr>
          <w:p w:rsidR="00921B57" w:rsidRDefault="00921B57" w:rsidP="009B407A"/>
        </w:tc>
      </w:tr>
      <w:tr w:rsidR="00921B57" w:rsidTr="00CE55DD">
        <w:tc>
          <w:tcPr>
            <w:tcW w:w="440" w:type="dxa"/>
          </w:tcPr>
          <w:p w:rsidR="00921B57" w:rsidRDefault="00830854" w:rsidP="009B407A">
            <w:r>
              <w:t>8</w:t>
            </w:r>
          </w:p>
        </w:tc>
        <w:tc>
          <w:tcPr>
            <w:tcW w:w="6223" w:type="dxa"/>
          </w:tcPr>
          <w:p w:rsidR="00921B57" w:rsidRDefault="008E5E0D" w:rsidP="009B407A">
            <w:r w:rsidRPr="008E5E0D">
              <w:t xml:space="preserve">Systems for allocation of students are transparent and fair.   </w:t>
            </w:r>
          </w:p>
          <w:p w:rsidR="008E5E0D" w:rsidRDefault="008E5E0D" w:rsidP="009B407A"/>
        </w:tc>
        <w:tc>
          <w:tcPr>
            <w:tcW w:w="4961" w:type="dxa"/>
          </w:tcPr>
          <w:p w:rsidR="00921B57" w:rsidRDefault="00921B57" w:rsidP="009B407A"/>
        </w:tc>
        <w:tc>
          <w:tcPr>
            <w:tcW w:w="2268" w:type="dxa"/>
          </w:tcPr>
          <w:p w:rsidR="00921B57" w:rsidRDefault="00921B57" w:rsidP="009B407A"/>
        </w:tc>
      </w:tr>
      <w:tr w:rsidR="00921B57" w:rsidTr="00CE55DD">
        <w:tc>
          <w:tcPr>
            <w:tcW w:w="440" w:type="dxa"/>
          </w:tcPr>
          <w:p w:rsidR="00921B57" w:rsidRDefault="00830854" w:rsidP="009B407A">
            <w:r>
              <w:t>9</w:t>
            </w:r>
          </w:p>
        </w:tc>
        <w:tc>
          <w:tcPr>
            <w:tcW w:w="6223" w:type="dxa"/>
          </w:tcPr>
          <w:p w:rsidR="00921B57" w:rsidRDefault="008E5E0D" w:rsidP="009B407A">
            <w:r w:rsidRPr="008E5E0D">
              <w:t>HEIs and AHCPs have dedicated allocations personnel in post including 0.5 WTE of an allocations liaison post for up to 50 students (Department of Health 2004, 41).</w:t>
            </w:r>
          </w:p>
          <w:p w:rsidR="008E5E0D" w:rsidRDefault="008E5E0D" w:rsidP="009B407A"/>
        </w:tc>
        <w:tc>
          <w:tcPr>
            <w:tcW w:w="4961" w:type="dxa"/>
          </w:tcPr>
          <w:p w:rsidR="00921B57" w:rsidRDefault="00921B57" w:rsidP="009B407A"/>
        </w:tc>
        <w:tc>
          <w:tcPr>
            <w:tcW w:w="2268" w:type="dxa"/>
          </w:tcPr>
          <w:p w:rsidR="00921B57" w:rsidRDefault="00921B57" w:rsidP="009B407A"/>
        </w:tc>
      </w:tr>
      <w:tr w:rsidR="00921B57" w:rsidTr="00CE55DD">
        <w:tc>
          <w:tcPr>
            <w:tcW w:w="440" w:type="dxa"/>
          </w:tcPr>
          <w:p w:rsidR="00921B57" w:rsidRDefault="00830854" w:rsidP="009B407A">
            <w:r>
              <w:t>10</w:t>
            </w:r>
          </w:p>
        </w:tc>
        <w:tc>
          <w:tcPr>
            <w:tcW w:w="6223" w:type="dxa"/>
          </w:tcPr>
          <w:p w:rsidR="00921B57" w:rsidRDefault="008E5E0D" w:rsidP="009B407A">
            <w:r w:rsidRPr="008E5E0D">
              <w:t>Prior to using new practice placement sites, verification of the completed audit as endorsed by the Higher Education Institution are submitted to the Nursing and Midwifery Board of Ireland.</w:t>
            </w:r>
          </w:p>
          <w:p w:rsidR="008E5E0D" w:rsidRDefault="008E5E0D" w:rsidP="009B407A"/>
        </w:tc>
        <w:tc>
          <w:tcPr>
            <w:tcW w:w="4961" w:type="dxa"/>
          </w:tcPr>
          <w:p w:rsidR="00921B57" w:rsidRDefault="00921B57" w:rsidP="009B407A"/>
        </w:tc>
        <w:tc>
          <w:tcPr>
            <w:tcW w:w="2268" w:type="dxa"/>
          </w:tcPr>
          <w:p w:rsidR="00921B57" w:rsidRDefault="00921B57" w:rsidP="009B407A"/>
        </w:tc>
      </w:tr>
      <w:tr w:rsidR="00921B57" w:rsidTr="00CE55DD">
        <w:tc>
          <w:tcPr>
            <w:tcW w:w="440" w:type="dxa"/>
          </w:tcPr>
          <w:p w:rsidR="00921B57" w:rsidRDefault="00830854" w:rsidP="009B407A">
            <w:r>
              <w:t>11</w:t>
            </w:r>
          </w:p>
        </w:tc>
        <w:tc>
          <w:tcPr>
            <w:tcW w:w="6223" w:type="dxa"/>
          </w:tcPr>
          <w:p w:rsidR="00921B57" w:rsidRDefault="008E5E0D" w:rsidP="009B407A">
            <w:r w:rsidRPr="008E5E0D">
              <w:t>A maximum of 13 weeks of NMBI clinical instruction time may be provided for students to experience practice placements in either a European Union state or in an International Healthcare System.</w:t>
            </w:r>
          </w:p>
          <w:p w:rsidR="008E5E0D" w:rsidRDefault="008E5E0D" w:rsidP="009B407A"/>
        </w:tc>
        <w:tc>
          <w:tcPr>
            <w:tcW w:w="4961" w:type="dxa"/>
          </w:tcPr>
          <w:p w:rsidR="00921B57" w:rsidRDefault="00921B57" w:rsidP="009B407A"/>
        </w:tc>
        <w:tc>
          <w:tcPr>
            <w:tcW w:w="2268" w:type="dxa"/>
          </w:tcPr>
          <w:p w:rsidR="00921B57" w:rsidRDefault="00921B57" w:rsidP="009B407A"/>
        </w:tc>
      </w:tr>
      <w:tr w:rsidR="00921B57" w:rsidTr="00CE55DD">
        <w:tc>
          <w:tcPr>
            <w:tcW w:w="440" w:type="dxa"/>
          </w:tcPr>
          <w:p w:rsidR="00921B57" w:rsidRDefault="00830854" w:rsidP="009B407A">
            <w:r>
              <w:t>12</w:t>
            </w:r>
          </w:p>
        </w:tc>
        <w:tc>
          <w:tcPr>
            <w:tcW w:w="6223" w:type="dxa"/>
          </w:tcPr>
          <w:p w:rsidR="00921B57" w:rsidRDefault="008E5E0D" w:rsidP="009B407A">
            <w:r w:rsidRPr="008E5E0D">
              <w:t>EU/International Practice Placements are governed by a formal learning agreement between the students’ own HEI and the HEI of the hosting country detailing the agreed criteria and mechanisms for such placements</w:t>
            </w:r>
            <w:r w:rsidR="000D233F">
              <w:t xml:space="preserve"> </w:t>
            </w:r>
            <w:r w:rsidR="000D233F">
              <w:rPr>
                <w:vertAlign w:val="superscript"/>
              </w:rPr>
              <w:t>47</w:t>
            </w:r>
            <w:r w:rsidR="000D233F">
              <w:t xml:space="preserve">.   </w:t>
            </w:r>
          </w:p>
          <w:p w:rsidR="008E5E0D" w:rsidRDefault="008E5E0D" w:rsidP="009B407A"/>
          <w:p w:rsidR="000D233F" w:rsidRDefault="000D233F" w:rsidP="009B407A"/>
        </w:tc>
        <w:tc>
          <w:tcPr>
            <w:tcW w:w="4961" w:type="dxa"/>
          </w:tcPr>
          <w:p w:rsidR="00921B57" w:rsidRDefault="00921B57" w:rsidP="009B407A"/>
        </w:tc>
        <w:tc>
          <w:tcPr>
            <w:tcW w:w="2268" w:type="dxa"/>
          </w:tcPr>
          <w:p w:rsidR="00921B57" w:rsidRDefault="00921B57" w:rsidP="009B407A"/>
        </w:tc>
      </w:tr>
      <w:tr w:rsidR="00921B57" w:rsidTr="00CE55DD">
        <w:tc>
          <w:tcPr>
            <w:tcW w:w="440" w:type="dxa"/>
          </w:tcPr>
          <w:p w:rsidR="00921B57" w:rsidRDefault="00830854" w:rsidP="009B407A">
            <w:r>
              <w:t>13</w:t>
            </w:r>
          </w:p>
        </w:tc>
        <w:tc>
          <w:tcPr>
            <w:tcW w:w="6223" w:type="dxa"/>
          </w:tcPr>
          <w:p w:rsidR="00C256A9" w:rsidRDefault="00C256A9" w:rsidP="00C256A9">
            <w:r>
              <w:t xml:space="preserve">EU/International Practice Placements are based only in health care institutions which have been approved by either the competent authority of the host state or by the hosting HEI with whom the HCP is associated.  </w:t>
            </w:r>
          </w:p>
          <w:p w:rsidR="00C256A9" w:rsidRDefault="00C256A9" w:rsidP="00C256A9"/>
        </w:tc>
        <w:tc>
          <w:tcPr>
            <w:tcW w:w="4961" w:type="dxa"/>
          </w:tcPr>
          <w:p w:rsidR="00921B57" w:rsidRDefault="00921B57" w:rsidP="009B407A"/>
        </w:tc>
        <w:tc>
          <w:tcPr>
            <w:tcW w:w="2268" w:type="dxa"/>
          </w:tcPr>
          <w:p w:rsidR="00921B57" w:rsidRDefault="00921B57" w:rsidP="009B407A"/>
        </w:tc>
      </w:tr>
      <w:tr w:rsidR="00921B57" w:rsidTr="00CE55DD">
        <w:tc>
          <w:tcPr>
            <w:tcW w:w="440" w:type="dxa"/>
          </w:tcPr>
          <w:p w:rsidR="00921B57" w:rsidRDefault="00830854" w:rsidP="009B407A">
            <w:r>
              <w:t>14</w:t>
            </w:r>
          </w:p>
        </w:tc>
        <w:tc>
          <w:tcPr>
            <w:tcW w:w="6223" w:type="dxa"/>
          </w:tcPr>
          <w:p w:rsidR="00921B57" w:rsidRDefault="00C256A9" w:rsidP="009B407A">
            <w:r w:rsidRPr="00C256A9">
              <w:t>As with all Practice Placement sites, the HEI must notify the NMBI of the agreed criteria and mechanisms utilised for evaluating an International / EU Practice Placements as being an appropriate learning environment for the development of students’ competences.</w:t>
            </w:r>
          </w:p>
          <w:p w:rsidR="00C256A9" w:rsidRDefault="00C256A9" w:rsidP="009B407A"/>
        </w:tc>
        <w:tc>
          <w:tcPr>
            <w:tcW w:w="4961" w:type="dxa"/>
          </w:tcPr>
          <w:p w:rsidR="00921B57" w:rsidRDefault="00921B57" w:rsidP="009B407A"/>
        </w:tc>
        <w:tc>
          <w:tcPr>
            <w:tcW w:w="2268" w:type="dxa"/>
          </w:tcPr>
          <w:p w:rsidR="00921B57" w:rsidRDefault="00921B57" w:rsidP="009B407A"/>
        </w:tc>
      </w:tr>
    </w:tbl>
    <w:p w:rsidR="00921B57" w:rsidRDefault="00921B57" w:rsidP="00FD7D66"/>
    <w:p w:rsidR="00823BB8" w:rsidRDefault="00C256A9" w:rsidP="000D233F">
      <w:r>
        <w:t xml:space="preserve">47 </w:t>
      </w:r>
      <w:r w:rsidRPr="00C256A9">
        <w:t xml:space="preserve">These should include, inter alia, specified criteria for preparation, travel arrangements, accommodation, supervision, orientation to cultural differences and to professional standards for practice in the host site(s), practice </w:t>
      </w:r>
      <w:r w:rsidR="000D233F" w:rsidRPr="00C256A9">
        <w:t>learning</w:t>
      </w:r>
      <w:r w:rsidR="000D233F">
        <w:t xml:space="preserve"> </w:t>
      </w:r>
      <w:r w:rsidR="000D233F" w:rsidRPr="00C256A9">
        <w:t>opportunities</w:t>
      </w:r>
      <w:r w:rsidRPr="00C256A9">
        <w:t xml:space="preserve">, mechanisms for undergraduate support, health and safety arrangements, monitoring and </w:t>
      </w:r>
      <w:r w:rsidR="000D233F" w:rsidRPr="00C256A9">
        <w:t>evaluation reporting</w:t>
      </w:r>
      <w:r w:rsidRPr="00C256A9">
        <w:t xml:space="preserve"> processes.</w:t>
      </w:r>
    </w:p>
    <w:p w:rsidR="008834C2" w:rsidRPr="00C256A9" w:rsidRDefault="008834C2" w:rsidP="00C256A9"/>
    <w:p w:rsidR="001D5319" w:rsidRDefault="001D5319">
      <w:pPr>
        <w:rPr>
          <w:rFonts w:asciiTheme="majorHAnsi" w:eastAsiaTheme="majorEastAsia" w:hAnsiTheme="majorHAnsi" w:cstheme="majorBidi"/>
          <w:color w:val="2E74B5" w:themeColor="accent1" w:themeShade="BF"/>
          <w:sz w:val="32"/>
          <w:szCs w:val="32"/>
        </w:rPr>
      </w:pPr>
      <w:r>
        <w:br w:type="page"/>
      </w:r>
    </w:p>
    <w:p w:rsidR="00823BB8" w:rsidRDefault="00823BB8" w:rsidP="00823BB8">
      <w:pPr>
        <w:pStyle w:val="Heading1"/>
      </w:pPr>
      <w:r>
        <w:t>3.2.7 Practice Placements Learning Environment and Competence Assessment</w:t>
      </w:r>
    </w:p>
    <w:p w:rsidR="00985875" w:rsidRDefault="00985875" w:rsidP="00823BB8">
      <w:pPr>
        <w:rPr>
          <w:b/>
          <w:color w:val="FF0000"/>
        </w:rPr>
      </w:pPr>
    </w:p>
    <w:p w:rsidR="00985875" w:rsidRPr="00985875" w:rsidRDefault="00823BB8" w:rsidP="00823BB8">
      <w:r w:rsidRPr="00985875">
        <w:rPr>
          <w:b/>
        </w:rPr>
        <w:t>Criterion</w:t>
      </w:r>
      <w:r w:rsidRPr="00985875">
        <w:t xml:space="preserve">: </w:t>
      </w:r>
    </w:p>
    <w:p w:rsidR="00823BB8" w:rsidRPr="00985875" w:rsidRDefault="00823BB8" w:rsidP="00823BB8">
      <w:r w:rsidRPr="00985875">
        <w:t xml:space="preserve">Practice-based learning forms a mandatory and essential component of the professional nursing education to enable students to develop the domains of competence to become safe, caring, competent decision-makers who are willing to accept personal and professional accountability for evidence-based nursing care. </w:t>
      </w:r>
    </w:p>
    <w:p w:rsidR="00985875" w:rsidRPr="00985875" w:rsidRDefault="00823BB8" w:rsidP="00823BB8">
      <w:pPr>
        <w:rPr>
          <w:b/>
        </w:rPr>
      </w:pPr>
      <w:r w:rsidRPr="00985875">
        <w:rPr>
          <w:b/>
        </w:rPr>
        <w:t xml:space="preserve">Standard(s):  </w:t>
      </w:r>
    </w:p>
    <w:p w:rsidR="00823BB8" w:rsidRPr="00985875" w:rsidRDefault="00823BB8" w:rsidP="00823BB8">
      <w:pPr>
        <w:rPr>
          <w:b/>
        </w:rPr>
      </w:pPr>
      <w:r w:rsidRPr="00985875">
        <w:rPr>
          <w:b/>
        </w:rPr>
        <w:t xml:space="preserve">Clinical Placement Coordinators are appropriately qualified and adequately prepared for and supported in the role of guidance, support, facilitation and monitoring of </w:t>
      </w:r>
      <w:r w:rsidR="00985875" w:rsidRPr="00985875">
        <w:rPr>
          <w:b/>
        </w:rPr>
        <w:t>practice based</w:t>
      </w:r>
      <w:r w:rsidRPr="00985875">
        <w:rPr>
          <w:b/>
        </w:rPr>
        <w:t xml:space="preserve"> learning among undergraduate nursing and midwifery students. </w:t>
      </w:r>
    </w:p>
    <w:p w:rsidR="00823BB8" w:rsidRPr="00985875" w:rsidRDefault="00823BB8" w:rsidP="00823BB8">
      <w:pPr>
        <w:rPr>
          <w:b/>
        </w:rPr>
      </w:pPr>
      <w:r w:rsidRPr="00985875">
        <w:rPr>
          <w:b/>
        </w:rPr>
        <w:t>Preceptors and assessors of nursing students’ practice-based learning are appropriately qualified and adequately prepared for and supported in the role of student supervision and assessment of proficiency towards competence in nursing practice.</w:t>
      </w:r>
    </w:p>
    <w:tbl>
      <w:tblPr>
        <w:tblStyle w:val="TableGrid"/>
        <w:tblW w:w="13892" w:type="dxa"/>
        <w:tblInd w:w="-601" w:type="dxa"/>
        <w:tblLook w:val="04A0" w:firstRow="1" w:lastRow="0" w:firstColumn="1" w:lastColumn="0" w:noHBand="0" w:noVBand="1"/>
      </w:tblPr>
      <w:tblGrid>
        <w:gridCol w:w="440"/>
        <w:gridCol w:w="6223"/>
        <w:gridCol w:w="4961"/>
        <w:gridCol w:w="2268"/>
      </w:tblGrid>
      <w:tr w:rsidR="00985875" w:rsidTr="00CE55DD">
        <w:tc>
          <w:tcPr>
            <w:tcW w:w="440" w:type="dxa"/>
          </w:tcPr>
          <w:p w:rsidR="00985875" w:rsidRDefault="00985875" w:rsidP="009B407A"/>
        </w:tc>
        <w:tc>
          <w:tcPr>
            <w:tcW w:w="6223" w:type="dxa"/>
          </w:tcPr>
          <w:p w:rsidR="00985875" w:rsidRPr="00C64FF7" w:rsidRDefault="00985875" w:rsidP="009E3A56">
            <w:pPr>
              <w:jc w:val="center"/>
              <w:rPr>
                <w:b/>
              </w:rPr>
            </w:pPr>
            <w:r>
              <w:rPr>
                <w:b/>
              </w:rPr>
              <w:t>Indicators</w:t>
            </w:r>
          </w:p>
        </w:tc>
        <w:tc>
          <w:tcPr>
            <w:tcW w:w="4961" w:type="dxa"/>
          </w:tcPr>
          <w:p w:rsidR="00985875" w:rsidRPr="00C64FF7" w:rsidRDefault="00985875" w:rsidP="009E3A56">
            <w:pPr>
              <w:jc w:val="center"/>
              <w:rPr>
                <w:b/>
              </w:rPr>
            </w:pPr>
            <w:r w:rsidRPr="00C64FF7">
              <w:rPr>
                <w:b/>
              </w:rPr>
              <w:t>Evidence</w:t>
            </w:r>
          </w:p>
        </w:tc>
        <w:tc>
          <w:tcPr>
            <w:tcW w:w="2268" w:type="dxa"/>
          </w:tcPr>
          <w:p w:rsidR="00985875" w:rsidRDefault="00985875" w:rsidP="009E3A56">
            <w:pPr>
              <w:jc w:val="center"/>
              <w:rPr>
                <w:b/>
              </w:rPr>
            </w:pPr>
            <w:r w:rsidRPr="00C64FF7">
              <w:rPr>
                <w:b/>
              </w:rPr>
              <w:t xml:space="preserve">Reference page </w:t>
            </w:r>
          </w:p>
          <w:p w:rsidR="00985875" w:rsidRPr="00C64FF7" w:rsidRDefault="00985875" w:rsidP="009E3A56">
            <w:pPr>
              <w:jc w:val="center"/>
              <w:rPr>
                <w:b/>
              </w:rPr>
            </w:pPr>
            <w:r w:rsidRPr="00C64FF7">
              <w:rPr>
                <w:b/>
              </w:rPr>
              <w:t>in Document</w:t>
            </w:r>
          </w:p>
        </w:tc>
      </w:tr>
      <w:tr w:rsidR="00823BB8" w:rsidTr="00CE55DD">
        <w:tc>
          <w:tcPr>
            <w:tcW w:w="440" w:type="dxa"/>
          </w:tcPr>
          <w:p w:rsidR="00823BB8" w:rsidRDefault="002E18B7" w:rsidP="009B407A">
            <w:r>
              <w:t>1</w:t>
            </w:r>
          </w:p>
        </w:tc>
        <w:tc>
          <w:tcPr>
            <w:tcW w:w="6223" w:type="dxa"/>
          </w:tcPr>
          <w:p w:rsidR="002E18B7" w:rsidRDefault="002E18B7" w:rsidP="002E18B7">
            <w:r>
              <w:t>Clearly written up-to-date learning outcomes/objectives</w:t>
            </w:r>
            <w:r w:rsidR="00985875">
              <w:t xml:space="preserve"> </w:t>
            </w:r>
            <w:r w:rsidR="00985875">
              <w:rPr>
                <w:vertAlign w:val="superscript"/>
              </w:rPr>
              <w:t>48</w:t>
            </w:r>
            <w:r w:rsidR="00985875">
              <w:t xml:space="preserve">   </w:t>
            </w:r>
            <w:r>
              <w:t xml:space="preserve">appropriate to the practice placement environment are available and accessible to ensure optimal use of valuable practice placement experience. </w:t>
            </w:r>
          </w:p>
          <w:p w:rsidR="00823BB8" w:rsidRDefault="00823BB8" w:rsidP="002E18B7"/>
        </w:tc>
        <w:tc>
          <w:tcPr>
            <w:tcW w:w="4961" w:type="dxa"/>
          </w:tcPr>
          <w:p w:rsidR="00823BB8" w:rsidRDefault="00823BB8" w:rsidP="009B407A"/>
        </w:tc>
        <w:tc>
          <w:tcPr>
            <w:tcW w:w="2268" w:type="dxa"/>
          </w:tcPr>
          <w:p w:rsidR="00823BB8" w:rsidRDefault="00823BB8" w:rsidP="009B407A"/>
        </w:tc>
      </w:tr>
      <w:tr w:rsidR="00823BB8" w:rsidTr="00CE55DD">
        <w:tc>
          <w:tcPr>
            <w:tcW w:w="440" w:type="dxa"/>
          </w:tcPr>
          <w:p w:rsidR="00823BB8" w:rsidRDefault="002E18B7" w:rsidP="009B407A">
            <w:r>
              <w:t>2</w:t>
            </w:r>
          </w:p>
        </w:tc>
        <w:tc>
          <w:tcPr>
            <w:tcW w:w="6223" w:type="dxa"/>
          </w:tcPr>
          <w:p w:rsidR="00823BB8" w:rsidRDefault="002E18B7" w:rsidP="009B407A">
            <w:r w:rsidRPr="002E18B7">
              <w:t>Learning outcomes that are explicit to the practice setting are used for each year of the programme to guide student practice-based learning.</w:t>
            </w:r>
          </w:p>
          <w:p w:rsidR="002E18B7" w:rsidRDefault="002E18B7" w:rsidP="009B407A"/>
        </w:tc>
        <w:tc>
          <w:tcPr>
            <w:tcW w:w="4961" w:type="dxa"/>
          </w:tcPr>
          <w:p w:rsidR="00823BB8" w:rsidRDefault="00823BB8" w:rsidP="009B407A"/>
        </w:tc>
        <w:tc>
          <w:tcPr>
            <w:tcW w:w="2268" w:type="dxa"/>
          </w:tcPr>
          <w:p w:rsidR="00823BB8" w:rsidRDefault="00823BB8" w:rsidP="009B407A"/>
        </w:tc>
      </w:tr>
      <w:tr w:rsidR="00823BB8" w:rsidTr="00CE55DD">
        <w:tc>
          <w:tcPr>
            <w:tcW w:w="440" w:type="dxa"/>
          </w:tcPr>
          <w:p w:rsidR="00823BB8" w:rsidRDefault="002E18B7" w:rsidP="009B407A">
            <w:r>
              <w:t>3</w:t>
            </w:r>
          </w:p>
        </w:tc>
        <w:tc>
          <w:tcPr>
            <w:tcW w:w="6223" w:type="dxa"/>
          </w:tcPr>
          <w:p w:rsidR="00823BB8" w:rsidRDefault="002E18B7" w:rsidP="009B407A">
            <w:r w:rsidRPr="002E18B7">
              <w:t>Nursing students and all those involved</w:t>
            </w:r>
            <w:r w:rsidR="00985875">
              <w:t xml:space="preserve"> </w:t>
            </w:r>
            <w:r w:rsidR="00985875">
              <w:rPr>
                <w:vertAlign w:val="superscript"/>
              </w:rPr>
              <w:t>49</w:t>
            </w:r>
            <w:r w:rsidRPr="002E18B7">
              <w:t xml:space="preserve"> in meeting their learning needs are fully acquainted with the expected learning outcomes relating to that practice placement setting.</w:t>
            </w:r>
          </w:p>
          <w:p w:rsidR="002E18B7" w:rsidRDefault="002E18B7" w:rsidP="009B407A"/>
        </w:tc>
        <w:tc>
          <w:tcPr>
            <w:tcW w:w="4961" w:type="dxa"/>
          </w:tcPr>
          <w:p w:rsidR="00823BB8" w:rsidRDefault="00823BB8" w:rsidP="009B407A"/>
        </w:tc>
        <w:tc>
          <w:tcPr>
            <w:tcW w:w="2268" w:type="dxa"/>
          </w:tcPr>
          <w:p w:rsidR="00823BB8" w:rsidRDefault="00823BB8" w:rsidP="009B407A"/>
        </w:tc>
      </w:tr>
      <w:tr w:rsidR="00823BB8" w:rsidTr="00CE55DD">
        <w:tc>
          <w:tcPr>
            <w:tcW w:w="440" w:type="dxa"/>
          </w:tcPr>
          <w:p w:rsidR="00823BB8" w:rsidRDefault="002E18B7" w:rsidP="009B407A">
            <w:r>
              <w:t>4</w:t>
            </w:r>
          </w:p>
        </w:tc>
        <w:tc>
          <w:tcPr>
            <w:tcW w:w="6223" w:type="dxa"/>
          </w:tcPr>
          <w:p w:rsidR="00823BB8" w:rsidRDefault="002E18B7" w:rsidP="009B407A">
            <w:r w:rsidRPr="002E18B7">
              <w:t>At all times there are sufficient registered practitioners to facilitate the supervision and support of student nurses to achieve the expected learning outcomes of the programme</w:t>
            </w:r>
          </w:p>
          <w:p w:rsidR="002E18B7" w:rsidRDefault="002E18B7" w:rsidP="009B407A"/>
          <w:p w:rsidR="00DE241D" w:rsidRDefault="00DE241D" w:rsidP="009B407A"/>
        </w:tc>
        <w:tc>
          <w:tcPr>
            <w:tcW w:w="4961" w:type="dxa"/>
          </w:tcPr>
          <w:p w:rsidR="00823BB8" w:rsidRDefault="00823BB8" w:rsidP="009B407A"/>
        </w:tc>
        <w:tc>
          <w:tcPr>
            <w:tcW w:w="2268" w:type="dxa"/>
          </w:tcPr>
          <w:p w:rsidR="00823BB8" w:rsidRDefault="00823BB8" w:rsidP="009B407A"/>
        </w:tc>
      </w:tr>
      <w:tr w:rsidR="00823BB8" w:rsidTr="00CE55DD">
        <w:tc>
          <w:tcPr>
            <w:tcW w:w="440" w:type="dxa"/>
          </w:tcPr>
          <w:p w:rsidR="00823BB8" w:rsidRDefault="002E18B7" w:rsidP="009B407A">
            <w:r>
              <w:t>5</w:t>
            </w:r>
          </w:p>
        </w:tc>
        <w:tc>
          <w:tcPr>
            <w:tcW w:w="6223" w:type="dxa"/>
          </w:tcPr>
          <w:p w:rsidR="00823BB8" w:rsidRDefault="002E18B7" w:rsidP="009B407A">
            <w:r w:rsidRPr="002E18B7">
              <w:t>Practice based learning is supported by adequate numbers of appropriately qualified and prepared practitioners with experience of the relevant division of nursing to act as preceptors.</w:t>
            </w:r>
          </w:p>
          <w:p w:rsidR="002E18B7" w:rsidRDefault="002E18B7" w:rsidP="009B407A"/>
        </w:tc>
        <w:tc>
          <w:tcPr>
            <w:tcW w:w="4961" w:type="dxa"/>
          </w:tcPr>
          <w:p w:rsidR="00823BB8" w:rsidRDefault="00823BB8" w:rsidP="009B407A"/>
        </w:tc>
        <w:tc>
          <w:tcPr>
            <w:tcW w:w="2268" w:type="dxa"/>
          </w:tcPr>
          <w:p w:rsidR="00823BB8" w:rsidRDefault="00823BB8" w:rsidP="009B407A"/>
        </w:tc>
      </w:tr>
      <w:tr w:rsidR="00823BB8" w:rsidTr="00CE55DD">
        <w:tc>
          <w:tcPr>
            <w:tcW w:w="440" w:type="dxa"/>
          </w:tcPr>
          <w:p w:rsidR="00823BB8" w:rsidRDefault="002E18B7" w:rsidP="009B407A">
            <w:r>
              <w:t>6</w:t>
            </w:r>
          </w:p>
        </w:tc>
        <w:tc>
          <w:tcPr>
            <w:tcW w:w="6223" w:type="dxa"/>
          </w:tcPr>
          <w:p w:rsidR="002E18B7" w:rsidRDefault="002E18B7" w:rsidP="00985875">
            <w:r>
              <w:t xml:space="preserve">Practice based learning is supported by adequate numbers of appropriately qualified and prepared Clinical Placement Coordinators who are supported by a Nurse Practice Development Coordinator. A minimum ratio of one clinical placement coordinator to every 30 nursing students is in place with due </w:t>
            </w:r>
            <w:proofErr w:type="gramStart"/>
            <w:r>
              <w:t>regard</w:t>
            </w:r>
            <w:proofErr w:type="gramEnd"/>
            <w:r>
              <w:t xml:space="preserve"> to the geographical location and array of practice settings</w:t>
            </w:r>
            <w:r w:rsidR="00985875">
              <w:t xml:space="preserve"> </w:t>
            </w:r>
            <w:r w:rsidR="00985875">
              <w:rPr>
                <w:vertAlign w:val="superscript"/>
              </w:rPr>
              <w:t>50</w:t>
            </w:r>
            <w:r w:rsidR="00985875">
              <w:t xml:space="preserve"> (</w:t>
            </w:r>
            <w:r>
              <w:t xml:space="preserve">Department of Health 2004, 41). </w:t>
            </w:r>
          </w:p>
          <w:p w:rsidR="00823BB8" w:rsidRDefault="00823BB8" w:rsidP="002E18B7"/>
        </w:tc>
        <w:tc>
          <w:tcPr>
            <w:tcW w:w="4961" w:type="dxa"/>
          </w:tcPr>
          <w:p w:rsidR="00823BB8" w:rsidRDefault="00823BB8" w:rsidP="009B407A"/>
        </w:tc>
        <w:tc>
          <w:tcPr>
            <w:tcW w:w="2268" w:type="dxa"/>
          </w:tcPr>
          <w:p w:rsidR="00823BB8" w:rsidRDefault="00823BB8" w:rsidP="009B407A"/>
        </w:tc>
      </w:tr>
      <w:tr w:rsidR="00823BB8" w:rsidTr="00CE55DD">
        <w:tc>
          <w:tcPr>
            <w:tcW w:w="440" w:type="dxa"/>
          </w:tcPr>
          <w:p w:rsidR="00823BB8" w:rsidRDefault="002E18B7" w:rsidP="009B407A">
            <w:r>
              <w:t>7</w:t>
            </w:r>
          </w:p>
        </w:tc>
        <w:tc>
          <w:tcPr>
            <w:tcW w:w="6223" w:type="dxa"/>
          </w:tcPr>
          <w:p w:rsidR="00823BB8" w:rsidRDefault="002E18B7" w:rsidP="009B407A">
            <w:r w:rsidRPr="002E18B7">
              <w:t>Preceptorship arrangements are in place to support student placements in community and primary care settings.</w:t>
            </w:r>
          </w:p>
          <w:p w:rsidR="002E18B7" w:rsidRDefault="002E18B7" w:rsidP="009B407A"/>
        </w:tc>
        <w:tc>
          <w:tcPr>
            <w:tcW w:w="4961" w:type="dxa"/>
          </w:tcPr>
          <w:p w:rsidR="00823BB8" w:rsidRDefault="00823BB8" w:rsidP="009B407A"/>
        </w:tc>
        <w:tc>
          <w:tcPr>
            <w:tcW w:w="2268" w:type="dxa"/>
          </w:tcPr>
          <w:p w:rsidR="00823BB8" w:rsidRDefault="00823BB8" w:rsidP="009B407A"/>
        </w:tc>
      </w:tr>
      <w:tr w:rsidR="00823BB8" w:rsidTr="00CE55DD">
        <w:tc>
          <w:tcPr>
            <w:tcW w:w="440" w:type="dxa"/>
          </w:tcPr>
          <w:p w:rsidR="00823BB8" w:rsidRDefault="002E18B7" w:rsidP="009B407A">
            <w:r>
              <w:t>8</w:t>
            </w:r>
          </w:p>
        </w:tc>
        <w:tc>
          <w:tcPr>
            <w:tcW w:w="6223" w:type="dxa"/>
          </w:tcPr>
          <w:p w:rsidR="00823BB8" w:rsidRDefault="002E18B7" w:rsidP="009B407A">
            <w:r w:rsidRPr="002E18B7">
              <w:t>Nursing students are assigned a named primary preceptor, who is a Registered Nurse, during practice placement to provide support and supervision and assist them to develop the knowledge, know how, skills and competence to become proficient practitioners of nursing.</w:t>
            </w:r>
          </w:p>
          <w:p w:rsidR="002E18B7" w:rsidRDefault="002E18B7" w:rsidP="009B407A"/>
        </w:tc>
        <w:tc>
          <w:tcPr>
            <w:tcW w:w="4961" w:type="dxa"/>
          </w:tcPr>
          <w:p w:rsidR="00823BB8" w:rsidRDefault="00823BB8" w:rsidP="009B407A"/>
        </w:tc>
        <w:tc>
          <w:tcPr>
            <w:tcW w:w="2268" w:type="dxa"/>
          </w:tcPr>
          <w:p w:rsidR="00823BB8" w:rsidRDefault="00823BB8" w:rsidP="009B407A"/>
        </w:tc>
      </w:tr>
      <w:tr w:rsidR="00823BB8" w:rsidTr="00CE55DD">
        <w:tc>
          <w:tcPr>
            <w:tcW w:w="440" w:type="dxa"/>
          </w:tcPr>
          <w:p w:rsidR="00823BB8" w:rsidRDefault="002E18B7" w:rsidP="009B407A">
            <w:r>
              <w:t>9</w:t>
            </w:r>
          </w:p>
        </w:tc>
        <w:tc>
          <w:tcPr>
            <w:tcW w:w="6223" w:type="dxa"/>
          </w:tcPr>
          <w:p w:rsidR="00823BB8" w:rsidRDefault="002E18B7" w:rsidP="009B407A">
            <w:r w:rsidRPr="002E18B7">
              <w:t>Preceptors/Registered Nurses, who support students, have completed a teaching and assessing course approved by the NMBI to enable them support, guide and assess students’ learning and competence development.</w:t>
            </w:r>
          </w:p>
          <w:p w:rsidR="002E18B7" w:rsidRDefault="002E18B7" w:rsidP="009B407A"/>
        </w:tc>
        <w:tc>
          <w:tcPr>
            <w:tcW w:w="4961" w:type="dxa"/>
          </w:tcPr>
          <w:p w:rsidR="00823BB8" w:rsidRDefault="00823BB8" w:rsidP="009B407A"/>
        </w:tc>
        <w:tc>
          <w:tcPr>
            <w:tcW w:w="2268" w:type="dxa"/>
          </w:tcPr>
          <w:p w:rsidR="00823BB8" w:rsidRDefault="00823BB8" w:rsidP="009B407A"/>
        </w:tc>
      </w:tr>
      <w:tr w:rsidR="00823BB8" w:rsidTr="00CE55DD">
        <w:tc>
          <w:tcPr>
            <w:tcW w:w="440" w:type="dxa"/>
          </w:tcPr>
          <w:p w:rsidR="00823BB8" w:rsidRDefault="002E18B7" w:rsidP="009B407A">
            <w:r>
              <w:t>10</w:t>
            </w:r>
          </w:p>
        </w:tc>
        <w:tc>
          <w:tcPr>
            <w:tcW w:w="6223" w:type="dxa"/>
          </w:tcPr>
          <w:p w:rsidR="00823BB8" w:rsidRDefault="002E18B7" w:rsidP="002E18B7">
            <w:r w:rsidRPr="002E18B7">
              <w:t>Protected time policy/arrangements are in place for preceptor supervision and examining of undergraduate students.</w:t>
            </w:r>
          </w:p>
          <w:p w:rsidR="002E18B7" w:rsidRDefault="002E18B7" w:rsidP="002E18B7"/>
        </w:tc>
        <w:tc>
          <w:tcPr>
            <w:tcW w:w="4961" w:type="dxa"/>
          </w:tcPr>
          <w:p w:rsidR="00823BB8" w:rsidRDefault="00823BB8" w:rsidP="009B407A"/>
        </w:tc>
        <w:tc>
          <w:tcPr>
            <w:tcW w:w="2268" w:type="dxa"/>
          </w:tcPr>
          <w:p w:rsidR="00823BB8" w:rsidRDefault="00823BB8" w:rsidP="009B407A"/>
        </w:tc>
      </w:tr>
      <w:tr w:rsidR="00823BB8" w:rsidTr="00CE55DD">
        <w:tc>
          <w:tcPr>
            <w:tcW w:w="440" w:type="dxa"/>
          </w:tcPr>
          <w:p w:rsidR="00823BB8" w:rsidRDefault="002E18B7" w:rsidP="009B407A">
            <w:r>
              <w:t>11</w:t>
            </w:r>
          </w:p>
        </w:tc>
        <w:tc>
          <w:tcPr>
            <w:tcW w:w="6223" w:type="dxa"/>
          </w:tcPr>
          <w:p w:rsidR="00823BB8" w:rsidRDefault="002E18B7" w:rsidP="009B407A">
            <w:r w:rsidRPr="002E18B7">
              <w:t>Preceptor initial preparation is supported by refresher courses and support from HEI in relation to student supervision and competence assessment.</w:t>
            </w:r>
          </w:p>
          <w:p w:rsidR="002E18B7" w:rsidRDefault="002E18B7" w:rsidP="009B407A"/>
        </w:tc>
        <w:tc>
          <w:tcPr>
            <w:tcW w:w="4961" w:type="dxa"/>
          </w:tcPr>
          <w:p w:rsidR="00823BB8" w:rsidRDefault="00823BB8" w:rsidP="009B407A"/>
        </w:tc>
        <w:tc>
          <w:tcPr>
            <w:tcW w:w="2268" w:type="dxa"/>
          </w:tcPr>
          <w:p w:rsidR="00823BB8" w:rsidRDefault="00823BB8" w:rsidP="009B407A"/>
        </w:tc>
      </w:tr>
      <w:tr w:rsidR="00823BB8" w:rsidTr="00CE55DD">
        <w:tc>
          <w:tcPr>
            <w:tcW w:w="440" w:type="dxa"/>
          </w:tcPr>
          <w:p w:rsidR="00823BB8" w:rsidRDefault="002E18B7" w:rsidP="009B407A">
            <w:r>
              <w:t>12</w:t>
            </w:r>
          </w:p>
        </w:tc>
        <w:tc>
          <w:tcPr>
            <w:tcW w:w="6223" w:type="dxa"/>
          </w:tcPr>
          <w:p w:rsidR="002E18B7" w:rsidRDefault="002E18B7" w:rsidP="00DE241D">
            <w:r w:rsidRPr="002E18B7">
              <w:t>Assessment of the achievement of practice learning and competence development is undertaken in a fair, effective and transparent manner in accordance with the assessment strategy and NMBI Standards and requirements</w:t>
            </w:r>
            <w:r w:rsidR="00DE241D">
              <w:t>.</w:t>
            </w:r>
          </w:p>
          <w:p w:rsidR="00DE241D" w:rsidRDefault="00DE241D" w:rsidP="00DE241D"/>
        </w:tc>
        <w:tc>
          <w:tcPr>
            <w:tcW w:w="4961" w:type="dxa"/>
          </w:tcPr>
          <w:p w:rsidR="00823BB8" w:rsidRDefault="00823BB8" w:rsidP="009B407A"/>
        </w:tc>
        <w:tc>
          <w:tcPr>
            <w:tcW w:w="2268" w:type="dxa"/>
          </w:tcPr>
          <w:p w:rsidR="00823BB8" w:rsidRDefault="00823BB8" w:rsidP="009B407A"/>
        </w:tc>
      </w:tr>
      <w:tr w:rsidR="00823BB8" w:rsidTr="00CE55DD">
        <w:tc>
          <w:tcPr>
            <w:tcW w:w="440" w:type="dxa"/>
          </w:tcPr>
          <w:p w:rsidR="00823BB8" w:rsidRDefault="002E18B7" w:rsidP="009B407A">
            <w:r>
              <w:t>13</w:t>
            </w:r>
          </w:p>
        </w:tc>
        <w:tc>
          <w:tcPr>
            <w:tcW w:w="6223" w:type="dxa"/>
          </w:tcPr>
          <w:p w:rsidR="00823BB8" w:rsidRDefault="002E18B7" w:rsidP="009B407A">
            <w:r w:rsidRPr="002E18B7">
              <w:t>Practice-based assessment of learning and attainment of competence is based on an explicit model or framework for progressive achievement of proficiency.</w:t>
            </w:r>
          </w:p>
          <w:p w:rsidR="002E18B7" w:rsidRDefault="002E18B7" w:rsidP="009B407A"/>
        </w:tc>
        <w:tc>
          <w:tcPr>
            <w:tcW w:w="4961" w:type="dxa"/>
          </w:tcPr>
          <w:p w:rsidR="00823BB8" w:rsidRDefault="00823BB8" w:rsidP="009B407A"/>
        </w:tc>
        <w:tc>
          <w:tcPr>
            <w:tcW w:w="2268" w:type="dxa"/>
          </w:tcPr>
          <w:p w:rsidR="00823BB8" w:rsidRDefault="00823BB8" w:rsidP="009B407A"/>
        </w:tc>
      </w:tr>
      <w:tr w:rsidR="00823BB8" w:rsidTr="00CE55DD">
        <w:tc>
          <w:tcPr>
            <w:tcW w:w="440" w:type="dxa"/>
          </w:tcPr>
          <w:p w:rsidR="00823BB8" w:rsidRDefault="002E18B7" w:rsidP="009B407A">
            <w:r>
              <w:t>14</w:t>
            </w:r>
          </w:p>
        </w:tc>
        <w:tc>
          <w:tcPr>
            <w:tcW w:w="6223" w:type="dxa"/>
          </w:tcPr>
          <w:p w:rsidR="00823BB8" w:rsidRDefault="002E18B7" w:rsidP="009B407A">
            <w:r w:rsidRPr="002E18B7">
              <w:t>Mechanisms for preceptorship evaluation are in place.</w:t>
            </w:r>
          </w:p>
          <w:p w:rsidR="002E18B7" w:rsidRDefault="002E18B7" w:rsidP="009B407A"/>
        </w:tc>
        <w:tc>
          <w:tcPr>
            <w:tcW w:w="4961" w:type="dxa"/>
          </w:tcPr>
          <w:p w:rsidR="00823BB8" w:rsidRDefault="00823BB8" w:rsidP="009B407A"/>
        </w:tc>
        <w:tc>
          <w:tcPr>
            <w:tcW w:w="2268" w:type="dxa"/>
          </w:tcPr>
          <w:p w:rsidR="00823BB8" w:rsidRDefault="00823BB8" w:rsidP="009B407A"/>
        </w:tc>
      </w:tr>
      <w:tr w:rsidR="00823BB8" w:rsidTr="00CE55DD">
        <w:tc>
          <w:tcPr>
            <w:tcW w:w="440" w:type="dxa"/>
          </w:tcPr>
          <w:p w:rsidR="00823BB8" w:rsidRDefault="002E18B7" w:rsidP="009B407A">
            <w:r>
              <w:t>15</w:t>
            </w:r>
          </w:p>
        </w:tc>
        <w:tc>
          <w:tcPr>
            <w:tcW w:w="6223" w:type="dxa"/>
          </w:tcPr>
          <w:p w:rsidR="00823BB8" w:rsidRDefault="002E18B7" w:rsidP="009B407A">
            <w:r w:rsidRPr="002E18B7">
              <w:t>The supernumerary status of the student is explicit for preceptors and nursing students</w:t>
            </w:r>
            <w:r w:rsidR="00DE241D">
              <w:t>.</w:t>
            </w:r>
          </w:p>
          <w:p w:rsidR="002E18B7" w:rsidRDefault="002E18B7" w:rsidP="009B407A"/>
        </w:tc>
        <w:tc>
          <w:tcPr>
            <w:tcW w:w="4961" w:type="dxa"/>
          </w:tcPr>
          <w:p w:rsidR="00823BB8" w:rsidRDefault="00823BB8" w:rsidP="009B407A"/>
        </w:tc>
        <w:tc>
          <w:tcPr>
            <w:tcW w:w="2268" w:type="dxa"/>
          </w:tcPr>
          <w:p w:rsidR="00823BB8" w:rsidRDefault="00823BB8" w:rsidP="009B407A"/>
        </w:tc>
      </w:tr>
      <w:tr w:rsidR="00823BB8" w:rsidTr="00CE55DD">
        <w:tc>
          <w:tcPr>
            <w:tcW w:w="440" w:type="dxa"/>
          </w:tcPr>
          <w:p w:rsidR="00823BB8" w:rsidRDefault="002E18B7" w:rsidP="009B407A">
            <w:r>
              <w:t>16</w:t>
            </w:r>
          </w:p>
        </w:tc>
        <w:tc>
          <w:tcPr>
            <w:tcW w:w="6223" w:type="dxa"/>
          </w:tcPr>
          <w:p w:rsidR="00823BB8" w:rsidRDefault="002E18B7" w:rsidP="009B407A">
            <w:r w:rsidRPr="002E18B7">
              <w:t>Specified internship practice placements provide experience of the 24 hour cycle of the person accessing health services.</w:t>
            </w:r>
          </w:p>
          <w:p w:rsidR="002E18B7" w:rsidRDefault="002E18B7" w:rsidP="009B407A"/>
        </w:tc>
        <w:tc>
          <w:tcPr>
            <w:tcW w:w="4961" w:type="dxa"/>
          </w:tcPr>
          <w:p w:rsidR="00823BB8" w:rsidRDefault="00823BB8" w:rsidP="009B407A"/>
        </w:tc>
        <w:tc>
          <w:tcPr>
            <w:tcW w:w="2268" w:type="dxa"/>
          </w:tcPr>
          <w:p w:rsidR="00823BB8" w:rsidRDefault="00823BB8" w:rsidP="009B407A"/>
        </w:tc>
      </w:tr>
      <w:tr w:rsidR="00823BB8" w:rsidTr="00CE55DD">
        <w:tc>
          <w:tcPr>
            <w:tcW w:w="440" w:type="dxa"/>
          </w:tcPr>
          <w:p w:rsidR="00823BB8" w:rsidRDefault="002E18B7" w:rsidP="009B407A">
            <w:r>
              <w:t>17</w:t>
            </w:r>
          </w:p>
        </w:tc>
        <w:tc>
          <w:tcPr>
            <w:tcW w:w="6223" w:type="dxa"/>
          </w:tcPr>
          <w:p w:rsidR="00823BB8" w:rsidRDefault="002E18B7" w:rsidP="009B407A">
            <w:r w:rsidRPr="002E18B7">
              <w:t>Specific periods of protected time are allocated for reflection during supernumerary placements and the final internship clinical placement (Nurse Education Forum 2000).</w:t>
            </w:r>
          </w:p>
          <w:p w:rsidR="002E18B7" w:rsidRDefault="002E18B7" w:rsidP="009B407A"/>
        </w:tc>
        <w:tc>
          <w:tcPr>
            <w:tcW w:w="4961" w:type="dxa"/>
          </w:tcPr>
          <w:p w:rsidR="00823BB8" w:rsidRDefault="00823BB8" w:rsidP="009B407A"/>
        </w:tc>
        <w:tc>
          <w:tcPr>
            <w:tcW w:w="2268" w:type="dxa"/>
          </w:tcPr>
          <w:p w:rsidR="00823BB8" w:rsidRDefault="00823BB8" w:rsidP="009B407A"/>
        </w:tc>
      </w:tr>
      <w:tr w:rsidR="00823BB8" w:rsidTr="00CE55DD">
        <w:tc>
          <w:tcPr>
            <w:tcW w:w="440" w:type="dxa"/>
          </w:tcPr>
          <w:p w:rsidR="00823BB8" w:rsidRDefault="002E18B7" w:rsidP="009B407A">
            <w:r>
              <w:t>18</w:t>
            </w:r>
          </w:p>
        </w:tc>
        <w:tc>
          <w:tcPr>
            <w:tcW w:w="6223" w:type="dxa"/>
          </w:tcPr>
          <w:p w:rsidR="00823BB8" w:rsidRDefault="002E18B7" w:rsidP="002E18B7">
            <w:r w:rsidRPr="002E18B7">
              <w:t>The time allocated for protected reflective practice during supernumerary placements and the structures in place for the implementation of protected reflective time during the period of internship should be agreed formally between the HEIs and the associated health</w:t>
            </w:r>
            <w:r>
              <w:t xml:space="preserve"> </w:t>
            </w:r>
            <w:r w:rsidRPr="002E18B7">
              <w:t>care providers and included in the memorandum of understanding.</w:t>
            </w:r>
          </w:p>
          <w:p w:rsidR="002E18B7" w:rsidRDefault="002E18B7" w:rsidP="002E18B7"/>
        </w:tc>
        <w:tc>
          <w:tcPr>
            <w:tcW w:w="4961" w:type="dxa"/>
          </w:tcPr>
          <w:p w:rsidR="00823BB8" w:rsidRDefault="00823BB8" w:rsidP="009B407A"/>
        </w:tc>
        <w:tc>
          <w:tcPr>
            <w:tcW w:w="2268" w:type="dxa"/>
          </w:tcPr>
          <w:p w:rsidR="00823BB8" w:rsidRDefault="00823BB8" w:rsidP="009B407A"/>
        </w:tc>
      </w:tr>
      <w:tr w:rsidR="00823BB8" w:rsidTr="00CE55DD">
        <w:tc>
          <w:tcPr>
            <w:tcW w:w="440" w:type="dxa"/>
          </w:tcPr>
          <w:p w:rsidR="00823BB8" w:rsidRDefault="002E18B7" w:rsidP="009B407A">
            <w:r>
              <w:t>19</w:t>
            </w:r>
          </w:p>
        </w:tc>
        <w:tc>
          <w:tcPr>
            <w:tcW w:w="6223" w:type="dxa"/>
          </w:tcPr>
          <w:p w:rsidR="00C74E18" w:rsidRDefault="00C74E18" w:rsidP="00C74E18">
            <w:r>
              <w:t xml:space="preserve">Reflective time of a minimum of 4 hours per week should be an integral component of any supernumerary nursing and specialist placement. </w:t>
            </w:r>
          </w:p>
          <w:p w:rsidR="00823BB8" w:rsidRDefault="00823BB8" w:rsidP="00C74E18"/>
        </w:tc>
        <w:tc>
          <w:tcPr>
            <w:tcW w:w="4961" w:type="dxa"/>
          </w:tcPr>
          <w:p w:rsidR="00823BB8" w:rsidRDefault="00823BB8" w:rsidP="009B407A"/>
        </w:tc>
        <w:tc>
          <w:tcPr>
            <w:tcW w:w="2268" w:type="dxa"/>
          </w:tcPr>
          <w:p w:rsidR="00823BB8" w:rsidRDefault="00823BB8" w:rsidP="009B407A"/>
        </w:tc>
      </w:tr>
      <w:tr w:rsidR="00823BB8" w:rsidTr="00CE55DD">
        <w:tc>
          <w:tcPr>
            <w:tcW w:w="440" w:type="dxa"/>
          </w:tcPr>
          <w:p w:rsidR="00823BB8" w:rsidRDefault="002E18B7" w:rsidP="009B407A">
            <w:r>
              <w:t>20</w:t>
            </w:r>
          </w:p>
        </w:tc>
        <w:tc>
          <w:tcPr>
            <w:tcW w:w="6223" w:type="dxa"/>
          </w:tcPr>
          <w:p w:rsidR="00823BB8" w:rsidRDefault="00C74E18" w:rsidP="009B407A">
            <w:r w:rsidRPr="00C74E18">
              <w:t>Reflective time equivalent to a minimum of 4 hours per week forms an integral component of the internship period of clinical allocation to enhance the consolidation of theory to practice (</w:t>
            </w:r>
            <w:r w:rsidR="00054973">
              <w:t>Circular 46/2004, Department of Health and Children 2004</w:t>
            </w:r>
            <w:r w:rsidRPr="00C74E18">
              <w:t>).</w:t>
            </w:r>
          </w:p>
          <w:p w:rsidR="00C74E18" w:rsidRDefault="00C74E18" w:rsidP="009B407A"/>
        </w:tc>
        <w:tc>
          <w:tcPr>
            <w:tcW w:w="4961" w:type="dxa"/>
          </w:tcPr>
          <w:p w:rsidR="00823BB8" w:rsidRDefault="00823BB8" w:rsidP="009B407A"/>
        </w:tc>
        <w:tc>
          <w:tcPr>
            <w:tcW w:w="2268" w:type="dxa"/>
          </w:tcPr>
          <w:p w:rsidR="00823BB8" w:rsidRDefault="00823BB8" w:rsidP="009B407A"/>
        </w:tc>
      </w:tr>
      <w:tr w:rsidR="002E18B7" w:rsidTr="00CE55DD">
        <w:tc>
          <w:tcPr>
            <w:tcW w:w="440" w:type="dxa"/>
          </w:tcPr>
          <w:p w:rsidR="002E18B7" w:rsidRDefault="002E18B7" w:rsidP="009B407A">
            <w:r>
              <w:t>21</w:t>
            </w:r>
          </w:p>
        </w:tc>
        <w:tc>
          <w:tcPr>
            <w:tcW w:w="6223" w:type="dxa"/>
          </w:tcPr>
          <w:p w:rsidR="002E18B7" w:rsidRDefault="00C74E18" w:rsidP="009B407A">
            <w:r w:rsidRPr="00C74E18">
              <w:t>Reflection is developed through the maintenance during the internship period by the nursing student of a personal professional portfolio of learning related to competence development.</w:t>
            </w:r>
          </w:p>
          <w:p w:rsidR="00C74E18" w:rsidRDefault="00C74E18" w:rsidP="009B407A"/>
        </w:tc>
        <w:tc>
          <w:tcPr>
            <w:tcW w:w="4961" w:type="dxa"/>
          </w:tcPr>
          <w:p w:rsidR="002E18B7" w:rsidRDefault="002E18B7" w:rsidP="009B407A"/>
        </w:tc>
        <w:tc>
          <w:tcPr>
            <w:tcW w:w="2268" w:type="dxa"/>
          </w:tcPr>
          <w:p w:rsidR="002E18B7" w:rsidRDefault="002E18B7" w:rsidP="009B407A"/>
        </w:tc>
      </w:tr>
      <w:tr w:rsidR="002E18B7" w:rsidTr="00CE55DD">
        <w:tc>
          <w:tcPr>
            <w:tcW w:w="440" w:type="dxa"/>
          </w:tcPr>
          <w:p w:rsidR="002E18B7" w:rsidRDefault="00C74E18" w:rsidP="009B407A">
            <w:r>
              <w:t>22</w:t>
            </w:r>
          </w:p>
        </w:tc>
        <w:tc>
          <w:tcPr>
            <w:tcW w:w="6223" w:type="dxa"/>
          </w:tcPr>
          <w:p w:rsidR="002E18B7" w:rsidRDefault="00AE6EF0" w:rsidP="009B407A">
            <w:r w:rsidRPr="00AE6EF0">
              <w:t>Students are supported and supervised during the final placement of 36 weeks internship to consolidate the completed theoretical learning and to support the achievement of clinical competence on graduation and registration.</w:t>
            </w:r>
          </w:p>
          <w:p w:rsidR="00AE6EF0" w:rsidRDefault="00AE6EF0" w:rsidP="009B407A"/>
        </w:tc>
        <w:tc>
          <w:tcPr>
            <w:tcW w:w="4961" w:type="dxa"/>
          </w:tcPr>
          <w:p w:rsidR="002E18B7" w:rsidRDefault="002E18B7" w:rsidP="009B407A"/>
        </w:tc>
        <w:tc>
          <w:tcPr>
            <w:tcW w:w="2268" w:type="dxa"/>
          </w:tcPr>
          <w:p w:rsidR="002E18B7" w:rsidRDefault="002E18B7" w:rsidP="009B407A"/>
        </w:tc>
      </w:tr>
      <w:tr w:rsidR="002E18B7" w:rsidTr="00CE55DD">
        <w:tc>
          <w:tcPr>
            <w:tcW w:w="440" w:type="dxa"/>
          </w:tcPr>
          <w:p w:rsidR="002E18B7" w:rsidRDefault="00C74E18" w:rsidP="009B407A">
            <w:r>
              <w:t>23</w:t>
            </w:r>
          </w:p>
        </w:tc>
        <w:tc>
          <w:tcPr>
            <w:tcW w:w="6223" w:type="dxa"/>
          </w:tcPr>
          <w:p w:rsidR="002E18B7" w:rsidRDefault="00AE6EF0" w:rsidP="009B407A">
            <w:r w:rsidRPr="00AE6EF0">
              <w:t>The HEI and AHCPs operate an effective fitness to practise mechanism for the protection of the public and safety of the vulnerable person receiving healthcare.</w:t>
            </w:r>
          </w:p>
          <w:p w:rsidR="00AE6EF0" w:rsidRDefault="00AE6EF0" w:rsidP="009B407A"/>
        </w:tc>
        <w:tc>
          <w:tcPr>
            <w:tcW w:w="4961" w:type="dxa"/>
          </w:tcPr>
          <w:p w:rsidR="002E18B7" w:rsidRDefault="002E18B7" w:rsidP="009B407A"/>
        </w:tc>
        <w:tc>
          <w:tcPr>
            <w:tcW w:w="2268" w:type="dxa"/>
          </w:tcPr>
          <w:p w:rsidR="002E18B7" w:rsidRDefault="002E18B7" w:rsidP="009B407A"/>
        </w:tc>
      </w:tr>
      <w:tr w:rsidR="00C74E18" w:rsidTr="00CE55DD">
        <w:tc>
          <w:tcPr>
            <w:tcW w:w="440" w:type="dxa"/>
          </w:tcPr>
          <w:p w:rsidR="00C74E18" w:rsidRDefault="00AE6EF0" w:rsidP="009B407A">
            <w:r>
              <w:t>24</w:t>
            </w:r>
          </w:p>
        </w:tc>
        <w:tc>
          <w:tcPr>
            <w:tcW w:w="6223" w:type="dxa"/>
          </w:tcPr>
          <w:p w:rsidR="00C74E18" w:rsidRDefault="00AE6EF0" w:rsidP="009B407A">
            <w:r w:rsidRPr="00AE6EF0">
              <w:t>The HEI and AHCPs operate robust processes for managing undergraduate health problems.</w:t>
            </w:r>
          </w:p>
        </w:tc>
        <w:tc>
          <w:tcPr>
            <w:tcW w:w="4961" w:type="dxa"/>
          </w:tcPr>
          <w:p w:rsidR="00C74E18" w:rsidRDefault="00C74E18" w:rsidP="009B407A"/>
        </w:tc>
        <w:tc>
          <w:tcPr>
            <w:tcW w:w="2268" w:type="dxa"/>
          </w:tcPr>
          <w:p w:rsidR="00C74E18" w:rsidRDefault="00C74E18" w:rsidP="009B407A"/>
        </w:tc>
      </w:tr>
    </w:tbl>
    <w:p w:rsidR="00823BB8" w:rsidRDefault="00823BB8" w:rsidP="00823BB8">
      <w:pPr>
        <w:rPr>
          <w:color w:val="FF0000"/>
        </w:rPr>
      </w:pPr>
    </w:p>
    <w:p w:rsidR="002E18B7" w:rsidRPr="002E18B7" w:rsidRDefault="00DE241D" w:rsidP="002E18B7">
      <w:r>
        <w:t>48 The</w:t>
      </w:r>
      <w:r w:rsidR="002E18B7" w:rsidRPr="002E18B7">
        <w:t xml:space="preserve"> learning outcomes/ objectives are reviewed and revised as necessary.</w:t>
      </w:r>
    </w:p>
    <w:p w:rsidR="002E18B7" w:rsidRPr="002E18B7" w:rsidRDefault="002E18B7" w:rsidP="00DE241D">
      <w:pPr>
        <w:ind w:left="284" w:hanging="284"/>
      </w:pPr>
      <w:r w:rsidRPr="002E18B7">
        <w:t xml:space="preserve">49 Clinical Placement Co-ordinators, Preceptors, Nurse Practice Development Coordinators, Clinical Nurse Managers, Link Academic Staff </w:t>
      </w:r>
      <w:r w:rsidR="00DE241D">
        <w:t xml:space="preserve">                                                   </w:t>
      </w:r>
      <w:r w:rsidRPr="002E18B7">
        <w:t>and others involved in supervision or assessment of nursing students.</w:t>
      </w:r>
    </w:p>
    <w:p w:rsidR="00823BB8" w:rsidRPr="002E18B7" w:rsidRDefault="00DE241D" w:rsidP="00DE241D">
      <w:pPr>
        <w:ind w:left="284" w:hanging="284"/>
      </w:pPr>
      <w:r w:rsidRPr="002E18B7">
        <w:t>50 This</w:t>
      </w:r>
      <w:r w:rsidR="002E18B7" w:rsidRPr="002E18B7">
        <w:t xml:space="preserve"> relates to acute services; the CPCs for primary care and community settings req</w:t>
      </w:r>
      <w:r>
        <w:t xml:space="preserve">uire a CPC-student ratio that reflects the geographical location and travel considerations for such settings. </w:t>
      </w:r>
    </w:p>
    <w:p w:rsidR="001D5319" w:rsidRDefault="001D5319">
      <w:pPr>
        <w:rPr>
          <w:rFonts w:asciiTheme="majorHAnsi" w:eastAsiaTheme="majorEastAsia" w:hAnsiTheme="majorHAnsi" w:cstheme="majorBidi"/>
          <w:color w:val="2E74B5" w:themeColor="accent1" w:themeShade="BF"/>
          <w:sz w:val="32"/>
          <w:szCs w:val="32"/>
        </w:rPr>
      </w:pPr>
      <w:r>
        <w:br w:type="page"/>
      </w:r>
    </w:p>
    <w:p w:rsidR="00823BB8" w:rsidRPr="00823BB8" w:rsidRDefault="00823BB8" w:rsidP="00823BB8">
      <w:pPr>
        <w:pStyle w:val="Heading1"/>
      </w:pPr>
      <w:r w:rsidRPr="00823BB8">
        <w:t>3.2.8 Quality Assurance and Enhancement Mechanisms</w:t>
      </w:r>
    </w:p>
    <w:p w:rsidR="0031014C" w:rsidRDefault="0031014C" w:rsidP="00823BB8">
      <w:pPr>
        <w:rPr>
          <w:color w:val="FF0000"/>
        </w:rPr>
      </w:pPr>
    </w:p>
    <w:p w:rsidR="00823BB8" w:rsidRPr="0031014C" w:rsidRDefault="00823BB8" w:rsidP="00823BB8">
      <w:pPr>
        <w:rPr>
          <w:b/>
        </w:rPr>
      </w:pPr>
      <w:r w:rsidRPr="0031014C">
        <w:rPr>
          <w:b/>
        </w:rPr>
        <w:t>Criterion:</w:t>
      </w:r>
    </w:p>
    <w:p w:rsidR="00823BB8" w:rsidRPr="0031014C" w:rsidRDefault="00823BB8" w:rsidP="00823BB8">
      <w:r w:rsidRPr="0031014C">
        <w:t>The strategy, policy and procedures for quality monitoring, assurance and enhancement should have formal status within the Higher Education Institution and its Associated Health Service Provider(s), are publicly accessible and include a role for students and other academic and practice stakeholders.</w:t>
      </w:r>
    </w:p>
    <w:p w:rsidR="00823BB8" w:rsidRPr="0031014C" w:rsidRDefault="00823BB8" w:rsidP="00823BB8">
      <w:pPr>
        <w:rPr>
          <w:b/>
        </w:rPr>
      </w:pPr>
      <w:r w:rsidRPr="0031014C">
        <w:rPr>
          <w:b/>
        </w:rPr>
        <w:t>Standard:</w:t>
      </w:r>
    </w:p>
    <w:p w:rsidR="00823BB8" w:rsidRPr="0031014C" w:rsidRDefault="00823BB8" w:rsidP="00823BB8">
      <w:pPr>
        <w:rPr>
          <w:b/>
        </w:rPr>
      </w:pPr>
      <w:r w:rsidRPr="0031014C">
        <w:rPr>
          <w:b/>
        </w:rPr>
        <w:t>The Higher Education Institution and its Associated Health Service Provider(s) demonstrate a commitment to the fostering of an organizational culture for continuous quality improvement with written evidence outlining the systems and outcomes of quality monitoring and enhancement.</w:t>
      </w:r>
    </w:p>
    <w:tbl>
      <w:tblPr>
        <w:tblStyle w:val="TableGrid"/>
        <w:tblW w:w="13892" w:type="dxa"/>
        <w:tblInd w:w="-601" w:type="dxa"/>
        <w:tblLook w:val="04A0" w:firstRow="1" w:lastRow="0" w:firstColumn="1" w:lastColumn="0" w:noHBand="0" w:noVBand="1"/>
      </w:tblPr>
      <w:tblGrid>
        <w:gridCol w:w="440"/>
        <w:gridCol w:w="6223"/>
        <w:gridCol w:w="4961"/>
        <w:gridCol w:w="2268"/>
      </w:tblGrid>
      <w:tr w:rsidR="0031014C" w:rsidTr="00CE55DD">
        <w:tc>
          <w:tcPr>
            <w:tcW w:w="440" w:type="dxa"/>
          </w:tcPr>
          <w:p w:rsidR="0031014C" w:rsidRDefault="0031014C" w:rsidP="009B407A"/>
        </w:tc>
        <w:tc>
          <w:tcPr>
            <w:tcW w:w="6223" w:type="dxa"/>
          </w:tcPr>
          <w:p w:rsidR="0031014C" w:rsidRPr="00C64FF7" w:rsidRDefault="0031014C" w:rsidP="009E3A56">
            <w:pPr>
              <w:jc w:val="center"/>
              <w:rPr>
                <w:b/>
              </w:rPr>
            </w:pPr>
            <w:r>
              <w:rPr>
                <w:b/>
              </w:rPr>
              <w:t>Indicators</w:t>
            </w:r>
          </w:p>
        </w:tc>
        <w:tc>
          <w:tcPr>
            <w:tcW w:w="4961" w:type="dxa"/>
          </w:tcPr>
          <w:p w:rsidR="0031014C" w:rsidRPr="00C64FF7" w:rsidRDefault="0031014C" w:rsidP="009E3A56">
            <w:pPr>
              <w:jc w:val="center"/>
              <w:rPr>
                <w:b/>
              </w:rPr>
            </w:pPr>
            <w:r w:rsidRPr="00C64FF7">
              <w:rPr>
                <w:b/>
              </w:rPr>
              <w:t>Evidence</w:t>
            </w:r>
          </w:p>
        </w:tc>
        <w:tc>
          <w:tcPr>
            <w:tcW w:w="2268" w:type="dxa"/>
          </w:tcPr>
          <w:p w:rsidR="0031014C" w:rsidRDefault="0031014C" w:rsidP="009E3A56">
            <w:pPr>
              <w:jc w:val="center"/>
              <w:rPr>
                <w:b/>
              </w:rPr>
            </w:pPr>
            <w:r w:rsidRPr="00C64FF7">
              <w:rPr>
                <w:b/>
              </w:rPr>
              <w:t xml:space="preserve">Reference page </w:t>
            </w:r>
          </w:p>
          <w:p w:rsidR="0031014C" w:rsidRPr="00C64FF7" w:rsidRDefault="0031014C" w:rsidP="009E3A56">
            <w:pPr>
              <w:jc w:val="center"/>
              <w:rPr>
                <w:b/>
              </w:rPr>
            </w:pPr>
            <w:r w:rsidRPr="00C64FF7">
              <w:rPr>
                <w:b/>
              </w:rPr>
              <w:t>in Document</w:t>
            </w:r>
          </w:p>
        </w:tc>
      </w:tr>
      <w:tr w:rsidR="00823BB8" w:rsidTr="00CE55DD">
        <w:tc>
          <w:tcPr>
            <w:tcW w:w="440" w:type="dxa"/>
          </w:tcPr>
          <w:p w:rsidR="00823BB8" w:rsidRDefault="009A3304" w:rsidP="009B407A">
            <w:r>
              <w:t>1</w:t>
            </w:r>
          </w:p>
        </w:tc>
        <w:tc>
          <w:tcPr>
            <w:tcW w:w="6223" w:type="dxa"/>
          </w:tcPr>
          <w:p w:rsidR="00823BB8" w:rsidRDefault="009A3304" w:rsidP="009B407A">
            <w:r w:rsidRPr="009A3304">
              <w:t>Reports of internal and external subject quality reviews</w:t>
            </w:r>
            <w:r w:rsidR="0031014C">
              <w:t>.</w:t>
            </w:r>
          </w:p>
          <w:p w:rsidR="009A3304" w:rsidRDefault="009A3304" w:rsidP="009B407A"/>
        </w:tc>
        <w:tc>
          <w:tcPr>
            <w:tcW w:w="4961" w:type="dxa"/>
          </w:tcPr>
          <w:p w:rsidR="00823BB8" w:rsidRDefault="00823BB8" w:rsidP="009B407A"/>
        </w:tc>
        <w:tc>
          <w:tcPr>
            <w:tcW w:w="2268" w:type="dxa"/>
          </w:tcPr>
          <w:p w:rsidR="00823BB8" w:rsidRDefault="00823BB8" w:rsidP="009B407A"/>
        </w:tc>
      </w:tr>
      <w:tr w:rsidR="00823BB8" w:rsidTr="00CE55DD">
        <w:tc>
          <w:tcPr>
            <w:tcW w:w="440" w:type="dxa"/>
          </w:tcPr>
          <w:p w:rsidR="00823BB8" w:rsidRDefault="009A3304" w:rsidP="009B407A">
            <w:r>
              <w:t>2</w:t>
            </w:r>
          </w:p>
        </w:tc>
        <w:tc>
          <w:tcPr>
            <w:tcW w:w="6223" w:type="dxa"/>
          </w:tcPr>
          <w:p w:rsidR="00823BB8" w:rsidRDefault="009A3304" w:rsidP="009B407A">
            <w:r w:rsidRPr="009A3304">
              <w:t>Reports of internal and external subject quality reviews</w:t>
            </w:r>
            <w:r w:rsidR="0031014C">
              <w:t>.</w:t>
            </w:r>
          </w:p>
          <w:p w:rsidR="009A3304" w:rsidRDefault="009A3304" w:rsidP="009B407A"/>
        </w:tc>
        <w:tc>
          <w:tcPr>
            <w:tcW w:w="4961" w:type="dxa"/>
          </w:tcPr>
          <w:p w:rsidR="00823BB8" w:rsidRDefault="00823BB8" w:rsidP="009B407A"/>
        </w:tc>
        <w:tc>
          <w:tcPr>
            <w:tcW w:w="2268" w:type="dxa"/>
          </w:tcPr>
          <w:p w:rsidR="00823BB8" w:rsidRDefault="00823BB8" w:rsidP="009B407A"/>
        </w:tc>
      </w:tr>
      <w:tr w:rsidR="00823BB8" w:rsidTr="00CE55DD">
        <w:tc>
          <w:tcPr>
            <w:tcW w:w="440" w:type="dxa"/>
          </w:tcPr>
          <w:p w:rsidR="00823BB8" w:rsidRDefault="009A3304" w:rsidP="009B407A">
            <w:r>
              <w:t>3</w:t>
            </w:r>
          </w:p>
        </w:tc>
        <w:tc>
          <w:tcPr>
            <w:tcW w:w="6223" w:type="dxa"/>
          </w:tcPr>
          <w:p w:rsidR="00823BB8" w:rsidRDefault="00767746" w:rsidP="009B407A">
            <w:r w:rsidRPr="00767746">
              <w:t>Students’, former students’ and employers’ evaluations of the programme.</w:t>
            </w:r>
          </w:p>
          <w:p w:rsidR="00767746" w:rsidRDefault="00767746" w:rsidP="009B407A"/>
        </w:tc>
        <w:tc>
          <w:tcPr>
            <w:tcW w:w="4961" w:type="dxa"/>
          </w:tcPr>
          <w:p w:rsidR="00823BB8" w:rsidRDefault="00823BB8" w:rsidP="009B407A"/>
        </w:tc>
        <w:tc>
          <w:tcPr>
            <w:tcW w:w="2268" w:type="dxa"/>
          </w:tcPr>
          <w:p w:rsidR="00823BB8" w:rsidRDefault="00823BB8" w:rsidP="009B407A"/>
        </w:tc>
      </w:tr>
      <w:tr w:rsidR="00823BB8" w:rsidTr="00CE55DD">
        <w:tc>
          <w:tcPr>
            <w:tcW w:w="440" w:type="dxa"/>
          </w:tcPr>
          <w:p w:rsidR="00823BB8" w:rsidRDefault="009A3304" w:rsidP="009B407A">
            <w:r>
              <w:t>4</w:t>
            </w:r>
          </w:p>
        </w:tc>
        <w:tc>
          <w:tcPr>
            <w:tcW w:w="6223" w:type="dxa"/>
          </w:tcPr>
          <w:p w:rsidR="00767746" w:rsidRDefault="00767746" w:rsidP="00767746">
            <w:r>
              <w:t xml:space="preserve">Sufficient registered practitioners to facilitate the supervision of nursing students. </w:t>
            </w:r>
          </w:p>
          <w:p w:rsidR="00823BB8" w:rsidRDefault="00823BB8" w:rsidP="00767746"/>
        </w:tc>
        <w:tc>
          <w:tcPr>
            <w:tcW w:w="4961" w:type="dxa"/>
          </w:tcPr>
          <w:p w:rsidR="00823BB8" w:rsidRDefault="00823BB8" w:rsidP="009B407A"/>
        </w:tc>
        <w:tc>
          <w:tcPr>
            <w:tcW w:w="2268" w:type="dxa"/>
          </w:tcPr>
          <w:p w:rsidR="00823BB8" w:rsidRDefault="00823BB8" w:rsidP="009B407A"/>
        </w:tc>
      </w:tr>
      <w:tr w:rsidR="00823BB8" w:rsidTr="00CE55DD">
        <w:tc>
          <w:tcPr>
            <w:tcW w:w="440" w:type="dxa"/>
          </w:tcPr>
          <w:p w:rsidR="00823BB8" w:rsidRDefault="009A3304" w:rsidP="009B407A">
            <w:r>
              <w:t>5</w:t>
            </w:r>
          </w:p>
        </w:tc>
        <w:tc>
          <w:tcPr>
            <w:tcW w:w="6223" w:type="dxa"/>
          </w:tcPr>
          <w:p w:rsidR="00823BB8" w:rsidRDefault="00767746" w:rsidP="009B407A">
            <w:r w:rsidRPr="00767746">
              <w:t>Evidence based practice guidelines to support care delivery.</w:t>
            </w:r>
          </w:p>
          <w:p w:rsidR="00767746" w:rsidRDefault="00767746" w:rsidP="009B407A"/>
        </w:tc>
        <w:tc>
          <w:tcPr>
            <w:tcW w:w="4961" w:type="dxa"/>
          </w:tcPr>
          <w:p w:rsidR="00823BB8" w:rsidRDefault="00823BB8" w:rsidP="009B407A"/>
        </w:tc>
        <w:tc>
          <w:tcPr>
            <w:tcW w:w="2268" w:type="dxa"/>
          </w:tcPr>
          <w:p w:rsidR="00823BB8" w:rsidRDefault="00823BB8" w:rsidP="009B407A"/>
        </w:tc>
      </w:tr>
      <w:tr w:rsidR="00823BB8" w:rsidTr="00CE55DD">
        <w:tc>
          <w:tcPr>
            <w:tcW w:w="440" w:type="dxa"/>
          </w:tcPr>
          <w:p w:rsidR="00823BB8" w:rsidRDefault="009A3304" w:rsidP="009B407A">
            <w:r>
              <w:t>6</w:t>
            </w:r>
          </w:p>
        </w:tc>
        <w:tc>
          <w:tcPr>
            <w:tcW w:w="6223" w:type="dxa"/>
          </w:tcPr>
          <w:p w:rsidR="00823BB8" w:rsidRDefault="00767746" w:rsidP="009B407A">
            <w:r w:rsidRPr="00767746">
              <w:t>Reports of research awareness and the application of research findings among clinical practitioners.</w:t>
            </w:r>
          </w:p>
          <w:p w:rsidR="00767746" w:rsidRDefault="00767746" w:rsidP="009B407A"/>
        </w:tc>
        <w:tc>
          <w:tcPr>
            <w:tcW w:w="4961" w:type="dxa"/>
          </w:tcPr>
          <w:p w:rsidR="00823BB8" w:rsidRDefault="00823BB8" w:rsidP="009B407A"/>
        </w:tc>
        <w:tc>
          <w:tcPr>
            <w:tcW w:w="2268" w:type="dxa"/>
          </w:tcPr>
          <w:p w:rsidR="00823BB8" w:rsidRDefault="00823BB8" w:rsidP="009B407A"/>
        </w:tc>
      </w:tr>
      <w:tr w:rsidR="00823BB8" w:rsidTr="00CE55DD">
        <w:tc>
          <w:tcPr>
            <w:tcW w:w="440" w:type="dxa"/>
          </w:tcPr>
          <w:p w:rsidR="00823BB8" w:rsidRDefault="009A3304" w:rsidP="009B407A">
            <w:r>
              <w:t>7</w:t>
            </w:r>
          </w:p>
        </w:tc>
        <w:tc>
          <w:tcPr>
            <w:tcW w:w="6223" w:type="dxa"/>
          </w:tcPr>
          <w:p w:rsidR="00823BB8" w:rsidRDefault="00767746" w:rsidP="009B407A">
            <w:r w:rsidRPr="00767746">
              <w:t>Reports on the delivery of person-centred, holistic care of the person using health services.</w:t>
            </w:r>
          </w:p>
          <w:p w:rsidR="00767746" w:rsidRDefault="00767746" w:rsidP="009B407A"/>
          <w:p w:rsidR="0031014C" w:rsidRDefault="0031014C" w:rsidP="009B407A"/>
        </w:tc>
        <w:tc>
          <w:tcPr>
            <w:tcW w:w="4961" w:type="dxa"/>
          </w:tcPr>
          <w:p w:rsidR="00823BB8" w:rsidRDefault="00823BB8" w:rsidP="009B407A"/>
        </w:tc>
        <w:tc>
          <w:tcPr>
            <w:tcW w:w="2268" w:type="dxa"/>
          </w:tcPr>
          <w:p w:rsidR="00823BB8" w:rsidRDefault="00823BB8" w:rsidP="009B407A"/>
        </w:tc>
      </w:tr>
      <w:tr w:rsidR="00823BB8" w:rsidTr="00CE55DD">
        <w:tc>
          <w:tcPr>
            <w:tcW w:w="440" w:type="dxa"/>
          </w:tcPr>
          <w:p w:rsidR="00823BB8" w:rsidRDefault="009A3304" w:rsidP="009B407A">
            <w:r>
              <w:t>8</w:t>
            </w:r>
          </w:p>
        </w:tc>
        <w:tc>
          <w:tcPr>
            <w:tcW w:w="6223" w:type="dxa"/>
          </w:tcPr>
          <w:p w:rsidR="00823BB8" w:rsidRDefault="00767746" w:rsidP="009B407A">
            <w:r w:rsidRPr="00767746">
              <w:t>Policies/protocols in respect of medication management.</w:t>
            </w:r>
          </w:p>
          <w:p w:rsidR="00767746" w:rsidRDefault="00767746" w:rsidP="009B407A"/>
        </w:tc>
        <w:tc>
          <w:tcPr>
            <w:tcW w:w="4961" w:type="dxa"/>
          </w:tcPr>
          <w:p w:rsidR="00823BB8" w:rsidRDefault="00823BB8" w:rsidP="009B407A"/>
        </w:tc>
        <w:tc>
          <w:tcPr>
            <w:tcW w:w="2268" w:type="dxa"/>
          </w:tcPr>
          <w:p w:rsidR="00823BB8" w:rsidRDefault="00823BB8" w:rsidP="009B407A"/>
        </w:tc>
      </w:tr>
      <w:tr w:rsidR="00823BB8" w:rsidTr="00CE55DD">
        <w:tc>
          <w:tcPr>
            <w:tcW w:w="440" w:type="dxa"/>
          </w:tcPr>
          <w:p w:rsidR="00823BB8" w:rsidRDefault="009A3304" w:rsidP="009B407A">
            <w:r>
              <w:t>9</w:t>
            </w:r>
          </w:p>
        </w:tc>
        <w:tc>
          <w:tcPr>
            <w:tcW w:w="6223" w:type="dxa"/>
          </w:tcPr>
          <w:p w:rsidR="00823BB8" w:rsidRDefault="00767746" w:rsidP="009B407A">
            <w:r w:rsidRPr="00767746">
              <w:t>Policies/protocols in respect of good practice in recording the delivery of nursing care</w:t>
            </w:r>
            <w:r w:rsidR="0031014C">
              <w:t>.</w:t>
            </w:r>
          </w:p>
          <w:p w:rsidR="00767746" w:rsidRDefault="00767746" w:rsidP="009B407A"/>
        </w:tc>
        <w:tc>
          <w:tcPr>
            <w:tcW w:w="4961" w:type="dxa"/>
          </w:tcPr>
          <w:p w:rsidR="00823BB8" w:rsidRDefault="00823BB8" w:rsidP="009B407A"/>
        </w:tc>
        <w:tc>
          <w:tcPr>
            <w:tcW w:w="2268" w:type="dxa"/>
          </w:tcPr>
          <w:p w:rsidR="00823BB8" w:rsidRDefault="00823BB8" w:rsidP="009B407A"/>
        </w:tc>
      </w:tr>
      <w:tr w:rsidR="00823BB8" w:rsidTr="00CE55DD">
        <w:tc>
          <w:tcPr>
            <w:tcW w:w="440" w:type="dxa"/>
          </w:tcPr>
          <w:p w:rsidR="00823BB8" w:rsidRDefault="009A3304" w:rsidP="009B407A">
            <w:r>
              <w:t>10</w:t>
            </w:r>
          </w:p>
        </w:tc>
        <w:tc>
          <w:tcPr>
            <w:tcW w:w="6223" w:type="dxa"/>
          </w:tcPr>
          <w:p w:rsidR="00823BB8" w:rsidRDefault="00767746" w:rsidP="009B407A">
            <w:r w:rsidRPr="00767746">
              <w:t>Mechanisms and evidence of audit of nursing documentation.</w:t>
            </w:r>
          </w:p>
          <w:p w:rsidR="00767746" w:rsidRDefault="00767746" w:rsidP="009B407A"/>
        </w:tc>
        <w:tc>
          <w:tcPr>
            <w:tcW w:w="4961" w:type="dxa"/>
          </w:tcPr>
          <w:p w:rsidR="00823BB8" w:rsidRDefault="00823BB8" w:rsidP="009B407A"/>
        </w:tc>
        <w:tc>
          <w:tcPr>
            <w:tcW w:w="2268" w:type="dxa"/>
          </w:tcPr>
          <w:p w:rsidR="00823BB8" w:rsidRDefault="00823BB8" w:rsidP="009B407A"/>
        </w:tc>
      </w:tr>
      <w:tr w:rsidR="00823BB8" w:rsidTr="00CE55DD">
        <w:tc>
          <w:tcPr>
            <w:tcW w:w="440" w:type="dxa"/>
          </w:tcPr>
          <w:p w:rsidR="00823BB8" w:rsidRDefault="009A3304" w:rsidP="009B407A">
            <w:r>
              <w:t>11</w:t>
            </w:r>
          </w:p>
        </w:tc>
        <w:tc>
          <w:tcPr>
            <w:tcW w:w="6223" w:type="dxa"/>
          </w:tcPr>
          <w:p w:rsidR="00767746" w:rsidRDefault="00767746" w:rsidP="00767746">
            <w:r w:rsidRPr="00767746">
              <w:t xml:space="preserve">Evidence of maintenance of competence and of </w:t>
            </w:r>
            <w:r w:rsidR="0031014C" w:rsidRPr="00767746">
              <w:t>continuing</w:t>
            </w:r>
            <w:r w:rsidR="0031014C">
              <w:t>.</w:t>
            </w:r>
          </w:p>
          <w:p w:rsidR="00767746" w:rsidRDefault="00767746" w:rsidP="00767746"/>
        </w:tc>
        <w:tc>
          <w:tcPr>
            <w:tcW w:w="4961" w:type="dxa"/>
          </w:tcPr>
          <w:p w:rsidR="00823BB8" w:rsidRDefault="00823BB8" w:rsidP="009B407A"/>
        </w:tc>
        <w:tc>
          <w:tcPr>
            <w:tcW w:w="2268" w:type="dxa"/>
          </w:tcPr>
          <w:p w:rsidR="00823BB8" w:rsidRDefault="00823BB8" w:rsidP="009B407A"/>
        </w:tc>
      </w:tr>
      <w:tr w:rsidR="00823BB8" w:rsidTr="00CE55DD">
        <w:tc>
          <w:tcPr>
            <w:tcW w:w="440" w:type="dxa"/>
          </w:tcPr>
          <w:p w:rsidR="00823BB8" w:rsidRDefault="009A3304" w:rsidP="009B407A">
            <w:r>
              <w:t>12</w:t>
            </w:r>
          </w:p>
        </w:tc>
        <w:tc>
          <w:tcPr>
            <w:tcW w:w="6223" w:type="dxa"/>
          </w:tcPr>
          <w:p w:rsidR="00823BB8" w:rsidRDefault="00767746" w:rsidP="009B407A">
            <w:r w:rsidRPr="00767746">
              <w:t>Evidence of clinical risk management programmes</w:t>
            </w:r>
            <w:r w:rsidR="0031014C">
              <w:t>.</w:t>
            </w:r>
          </w:p>
          <w:p w:rsidR="00767746" w:rsidRDefault="00767746" w:rsidP="009B407A"/>
        </w:tc>
        <w:tc>
          <w:tcPr>
            <w:tcW w:w="4961" w:type="dxa"/>
          </w:tcPr>
          <w:p w:rsidR="00823BB8" w:rsidRDefault="00823BB8" w:rsidP="009B407A"/>
        </w:tc>
        <w:tc>
          <w:tcPr>
            <w:tcW w:w="2268" w:type="dxa"/>
          </w:tcPr>
          <w:p w:rsidR="00823BB8" w:rsidRDefault="00823BB8" w:rsidP="009B407A"/>
        </w:tc>
      </w:tr>
      <w:tr w:rsidR="00823BB8" w:rsidTr="00CE55DD">
        <w:tc>
          <w:tcPr>
            <w:tcW w:w="440" w:type="dxa"/>
          </w:tcPr>
          <w:p w:rsidR="00823BB8" w:rsidRDefault="009A3304" w:rsidP="009B407A">
            <w:r>
              <w:t>13</w:t>
            </w:r>
          </w:p>
        </w:tc>
        <w:tc>
          <w:tcPr>
            <w:tcW w:w="6223" w:type="dxa"/>
          </w:tcPr>
          <w:p w:rsidR="00823BB8" w:rsidRDefault="00767746" w:rsidP="009B407A">
            <w:r w:rsidRPr="00767746">
              <w:t>Mechanisms for and evidence of student support, supervision and assessment whilst in practice settings</w:t>
            </w:r>
            <w:r w:rsidR="0031014C">
              <w:t>.</w:t>
            </w:r>
          </w:p>
          <w:p w:rsidR="00767746" w:rsidRDefault="00767746" w:rsidP="009B407A"/>
        </w:tc>
        <w:tc>
          <w:tcPr>
            <w:tcW w:w="4961" w:type="dxa"/>
          </w:tcPr>
          <w:p w:rsidR="00823BB8" w:rsidRDefault="00823BB8" w:rsidP="009B407A"/>
        </w:tc>
        <w:tc>
          <w:tcPr>
            <w:tcW w:w="2268" w:type="dxa"/>
          </w:tcPr>
          <w:p w:rsidR="00823BB8" w:rsidRDefault="00823BB8" w:rsidP="009B407A"/>
        </w:tc>
      </w:tr>
      <w:tr w:rsidR="00823BB8" w:rsidTr="00CE55DD">
        <w:tc>
          <w:tcPr>
            <w:tcW w:w="440" w:type="dxa"/>
          </w:tcPr>
          <w:p w:rsidR="00823BB8" w:rsidRDefault="009A3304" w:rsidP="009B407A">
            <w:r>
              <w:t>14</w:t>
            </w:r>
          </w:p>
        </w:tc>
        <w:tc>
          <w:tcPr>
            <w:tcW w:w="6223" w:type="dxa"/>
          </w:tcPr>
          <w:p w:rsidR="00823BB8" w:rsidRDefault="00767746" w:rsidP="009B407A">
            <w:r w:rsidRPr="00767746">
              <w:t>Mechanisms for and evidence of educational and clinical audit.</w:t>
            </w:r>
          </w:p>
          <w:p w:rsidR="00767746" w:rsidRDefault="00767746" w:rsidP="009B407A"/>
        </w:tc>
        <w:tc>
          <w:tcPr>
            <w:tcW w:w="4961" w:type="dxa"/>
          </w:tcPr>
          <w:p w:rsidR="00823BB8" w:rsidRDefault="00823BB8" w:rsidP="009B407A"/>
        </w:tc>
        <w:tc>
          <w:tcPr>
            <w:tcW w:w="2268" w:type="dxa"/>
          </w:tcPr>
          <w:p w:rsidR="00823BB8" w:rsidRDefault="00823BB8" w:rsidP="009B407A"/>
        </w:tc>
      </w:tr>
      <w:tr w:rsidR="00823BB8" w:rsidTr="00CE55DD">
        <w:tc>
          <w:tcPr>
            <w:tcW w:w="440" w:type="dxa"/>
          </w:tcPr>
          <w:p w:rsidR="00823BB8" w:rsidRDefault="009A3304" w:rsidP="009B407A">
            <w:r>
              <w:t>15</w:t>
            </w:r>
          </w:p>
        </w:tc>
        <w:tc>
          <w:tcPr>
            <w:tcW w:w="6223" w:type="dxa"/>
          </w:tcPr>
          <w:p w:rsidR="00823BB8" w:rsidRDefault="00767746" w:rsidP="009B407A">
            <w:r w:rsidRPr="00767746">
              <w:t>Mechanisms are explicit as to the role and function of members of the public and persons in receipt of healthcare in the process of programme review and evaluation.</w:t>
            </w:r>
          </w:p>
          <w:p w:rsidR="00767746" w:rsidRDefault="00767746" w:rsidP="009B407A"/>
        </w:tc>
        <w:tc>
          <w:tcPr>
            <w:tcW w:w="4961" w:type="dxa"/>
          </w:tcPr>
          <w:p w:rsidR="00823BB8" w:rsidRDefault="00823BB8" w:rsidP="009B407A"/>
        </w:tc>
        <w:tc>
          <w:tcPr>
            <w:tcW w:w="2268" w:type="dxa"/>
          </w:tcPr>
          <w:p w:rsidR="00823BB8" w:rsidRDefault="00823BB8" w:rsidP="009B407A"/>
        </w:tc>
      </w:tr>
    </w:tbl>
    <w:p w:rsidR="00823BB8" w:rsidRDefault="00823BB8" w:rsidP="00823BB8">
      <w:pPr>
        <w:rPr>
          <w:color w:val="FF0000"/>
        </w:rPr>
      </w:pPr>
    </w:p>
    <w:p w:rsidR="00344AFF" w:rsidRDefault="00344AFF" w:rsidP="00823BB8">
      <w:pPr>
        <w:rPr>
          <w:color w:val="FF0000"/>
        </w:rPr>
      </w:pPr>
    </w:p>
    <w:p w:rsidR="00344AFF" w:rsidRDefault="00344AFF" w:rsidP="00823BB8">
      <w:pPr>
        <w:rPr>
          <w:color w:val="FF0000"/>
        </w:rPr>
      </w:pPr>
    </w:p>
    <w:p w:rsidR="00344AFF" w:rsidRDefault="00344AFF" w:rsidP="00823BB8">
      <w:pPr>
        <w:rPr>
          <w:color w:val="FF0000"/>
        </w:rPr>
      </w:pPr>
    </w:p>
    <w:p w:rsidR="00344AFF" w:rsidRDefault="00344AFF" w:rsidP="00823BB8">
      <w:pPr>
        <w:rPr>
          <w:color w:val="FF0000"/>
        </w:rPr>
      </w:pPr>
    </w:p>
    <w:p w:rsidR="00344AFF" w:rsidRDefault="00344AFF" w:rsidP="00823BB8">
      <w:pPr>
        <w:rPr>
          <w:color w:val="FF0000"/>
        </w:rPr>
      </w:pPr>
    </w:p>
    <w:p w:rsidR="00344AFF" w:rsidRDefault="00344AFF" w:rsidP="00823BB8">
      <w:pPr>
        <w:rPr>
          <w:color w:val="FF0000"/>
        </w:rPr>
      </w:pPr>
    </w:p>
    <w:p w:rsidR="00344AFF" w:rsidRDefault="00344AFF" w:rsidP="00823BB8">
      <w:pPr>
        <w:rPr>
          <w:color w:val="FF0000"/>
        </w:rPr>
      </w:pPr>
    </w:p>
    <w:p w:rsidR="00344AFF" w:rsidRDefault="00344AFF" w:rsidP="00823BB8">
      <w:pPr>
        <w:rPr>
          <w:color w:val="FF0000"/>
        </w:rPr>
      </w:pPr>
    </w:p>
    <w:p w:rsidR="00344AFF" w:rsidRDefault="00344AFF" w:rsidP="00823BB8">
      <w:pPr>
        <w:rPr>
          <w:color w:val="FF0000"/>
        </w:rPr>
      </w:pPr>
    </w:p>
    <w:p w:rsidR="00344AFF" w:rsidRPr="00F14873" w:rsidRDefault="00F14873" w:rsidP="00F14873">
      <w:pPr>
        <w:keepNext/>
        <w:keepLines/>
        <w:pageBreakBefore/>
        <w:pBdr>
          <w:bottom w:val="single" w:sz="18" w:space="16" w:color="1F497D"/>
        </w:pBdr>
        <w:spacing w:after="360" w:line="240" w:lineRule="auto"/>
        <w:outlineLvl w:val="0"/>
        <w:rPr>
          <w:rFonts w:ascii="Calibri" w:eastAsia="Times New Roman" w:hAnsi="Calibri" w:cs="Calibri"/>
          <w:b/>
          <w:bCs/>
          <w:color w:val="000000"/>
          <w:sz w:val="32"/>
          <w:szCs w:val="32"/>
          <w:lang w:val="en-AU"/>
        </w:rPr>
      </w:pPr>
      <w:r w:rsidRPr="00F14873">
        <w:rPr>
          <w:rFonts w:ascii="Calibri" w:eastAsia="Times New Roman" w:hAnsi="Calibri" w:cs="Calibri"/>
          <w:b/>
          <w:bCs/>
          <w:color w:val="000000"/>
          <w:sz w:val="32"/>
          <w:szCs w:val="32"/>
          <w:lang w:val="en-AU"/>
        </w:rPr>
        <w:t>Declaration</w:t>
      </w:r>
    </w:p>
    <w:tbl>
      <w:tblPr>
        <w:tblStyle w:val="TableGrid"/>
        <w:tblW w:w="0" w:type="auto"/>
        <w:tblInd w:w="108" w:type="dxa"/>
        <w:tblLook w:val="04A0" w:firstRow="1" w:lastRow="0" w:firstColumn="1" w:lastColumn="0" w:noHBand="0" w:noVBand="1"/>
      </w:tblPr>
      <w:tblGrid>
        <w:gridCol w:w="10348"/>
        <w:gridCol w:w="1418"/>
        <w:gridCol w:w="1302"/>
      </w:tblGrid>
      <w:tr w:rsidR="00344AFF" w:rsidTr="00344AFF">
        <w:tc>
          <w:tcPr>
            <w:tcW w:w="10348" w:type="dxa"/>
            <w:shd w:val="clear" w:color="auto" w:fill="auto"/>
          </w:tcPr>
          <w:sdt>
            <w:sdtPr>
              <w:rPr>
                <w:rStyle w:val="Heading2Char"/>
                <w:color w:val="auto"/>
                <w:sz w:val="28"/>
                <w:szCs w:val="28"/>
              </w:rPr>
              <w:alias w:val="Title"/>
              <w:id w:val="1478336780"/>
              <w:dataBinding w:prefixMappings="xmlns:ns0='http://schemas.openxmlformats.org/package/2006/metadata/core-properties' xmlns:ns1='http://purl.org/dc/elements/1.1/'" w:xpath="/ns0:coreProperties[1]/ns1:title[1]" w:storeItemID="{6C3C8BC8-F283-45AE-878A-BAB7291924A1}"/>
              <w:text/>
            </w:sdtPr>
            <w:sdtEndPr>
              <w:rPr>
                <w:rStyle w:val="Heading2Char"/>
              </w:rPr>
            </w:sdtEndPr>
            <w:sdtContent>
              <w:p w:rsidR="00F14873" w:rsidRPr="00F14873" w:rsidRDefault="00F14873" w:rsidP="00F14873">
                <w:pPr>
                  <w:pStyle w:val="Heading1"/>
                  <w:outlineLvl w:val="0"/>
                  <w:rPr>
                    <w:rStyle w:val="Heading2Char"/>
                    <w:color w:val="auto"/>
                    <w:sz w:val="28"/>
                    <w:szCs w:val="28"/>
                  </w:rPr>
                </w:pPr>
                <w:r w:rsidRPr="00F14873">
                  <w:rPr>
                    <w:rStyle w:val="Heading2Char"/>
                    <w:color w:val="auto"/>
                    <w:sz w:val="28"/>
                    <w:szCs w:val="28"/>
                  </w:rPr>
                  <w:t>Standards for the Approval of the Higher Education Institutions and Associated Health Care Provider Services and Educational Programmes Leading to Registration</w:t>
                </w:r>
              </w:p>
            </w:sdtContent>
          </w:sdt>
          <w:p w:rsidR="00344AFF" w:rsidRDefault="00344AFF" w:rsidP="00344AFF">
            <w:pPr>
              <w:pStyle w:val="Footer"/>
              <w:jc w:val="both"/>
              <w:rPr>
                <w:rStyle w:val="Heading2Char"/>
                <w:rFonts w:asciiTheme="minorHAnsi" w:hAnsiTheme="minorHAnsi"/>
                <w:color w:val="auto"/>
                <w:sz w:val="22"/>
                <w:szCs w:val="22"/>
              </w:rPr>
            </w:pPr>
          </w:p>
        </w:tc>
        <w:tc>
          <w:tcPr>
            <w:tcW w:w="1418" w:type="dxa"/>
          </w:tcPr>
          <w:p w:rsidR="00344AFF" w:rsidRDefault="00344AFF" w:rsidP="00344AFF">
            <w:pPr>
              <w:pStyle w:val="Footer"/>
              <w:jc w:val="center"/>
              <w:rPr>
                <w:rStyle w:val="Heading2Char"/>
                <w:rFonts w:asciiTheme="minorHAnsi" w:hAnsiTheme="minorHAnsi"/>
                <w:color w:val="auto"/>
                <w:sz w:val="22"/>
                <w:szCs w:val="22"/>
              </w:rPr>
            </w:pPr>
            <w:r>
              <w:rPr>
                <w:rStyle w:val="Heading2Char"/>
                <w:rFonts w:asciiTheme="minorHAnsi" w:hAnsiTheme="minorHAnsi"/>
                <w:color w:val="auto"/>
                <w:sz w:val="22"/>
                <w:szCs w:val="22"/>
              </w:rPr>
              <w:t>Yes</w:t>
            </w:r>
          </w:p>
        </w:tc>
        <w:tc>
          <w:tcPr>
            <w:tcW w:w="1302" w:type="dxa"/>
          </w:tcPr>
          <w:p w:rsidR="00344AFF" w:rsidRDefault="00344AFF" w:rsidP="00344AFF">
            <w:pPr>
              <w:pStyle w:val="Footer"/>
              <w:jc w:val="center"/>
              <w:rPr>
                <w:rStyle w:val="Heading2Char"/>
                <w:rFonts w:asciiTheme="minorHAnsi" w:hAnsiTheme="minorHAnsi"/>
                <w:color w:val="auto"/>
                <w:sz w:val="22"/>
                <w:szCs w:val="22"/>
              </w:rPr>
            </w:pPr>
            <w:r>
              <w:rPr>
                <w:rStyle w:val="Heading2Char"/>
                <w:rFonts w:asciiTheme="minorHAnsi" w:hAnsiTheme="minorHAnsi"/>
                <w:color w:val="auto"/>
                <w:sz w:val="22"/>
                <w:szCs w:val="22"/>
              </w:rPr>
              <w:t>No</w:t>
            </w:r>
          </w:p>
        </w:tc>
      </w:tr>
      <w:tr w:rsidR="00344AFF" w:rsidTr="00344AFF">
        <w:tc>
          <w:tcPr>
            <w:tcW w:w="10348" w:type="dxa"/>
            <w:shd w:val="clear" w:color="auto" w:fill="auto"/>
          </w:tcPr>
          <w:p w:rsidR="00344AFF" w:rsidRPr="00191A8E" w:rsidRDefault="00344AFF" w:rsidP="00833470">
            <w:pPr>
              <w:pStyle w:val="Footer"/>
              <w:jc w:val="both"/>
              <w:rPr>
                <w:rStyle w:val="Heading2Char"/>
                <w:rFonts w:asciiTheme="minorHAnsi" w:hAnsiTheme="minorHAnsi"/>
                <w:b w:val="0"/>
                <w:color w:val="auto"/>
                <w:sz w:val="22"/>
                <w:szCs w:val="22"/>
              </w:rPr>
            </w:pPr>
            <w:r w:rsidRPr="00191A8E">
              <w:rPr>
                <w:rStyle w:val="Heading2Char"/>
                <w:rFonts w:asciiTheme="minorHAnsi" w:hAnsiTheme="minorHAnsi"/>
                <w:b w:val="0"/>
                <w:color w:val="auto"/>
                <w:sz w:val="22"/>
                <w:szCs w:val="22"/>
              </w:rPr>
              <w:t xml:space="preserve">The requirements of standard </w:t>
            </w:r>
            <w:r w:rsidR="00F14873">
              <w:rPr>
                <w:rStyle w:val="Heading2Char"/>
                <w:rFonts w:asciiTheme="minorHAnsi" w:hAnsiTheme="minorHAnsi"/>
                <w:b w:val="0"/>
                <w:color w:val="auto"/>
                <w:sz w:val="22"/>
                <w:szCs w:val="22"/>
              </w:rPr>
              <w:t>3.2.1</w:t>
            </w:r>
            <w:r w:rsidRPr="00191A8E">
              <w:rPr>
                <w:rStyle w:val="Heading2Char"/>
                <w:rFonts w:asciiTheme="minorHAnsi" w:hAnsiTheme="minorHAnsi"/>
                <w:b w:val="0"/>
                <w:color w:val="auto"/>
                <w:sz w:val="22"/>
                <w:szCs w:val="22"/>
              </w:rPr>
              <w:t xml:space="preserve"> </w:t>
            </w:r>
            <w:r w:rsidR="00833470">
              <w:rPr>
                <w:rStyle w:val="Heading2Char"/>
                <w:rFonts w:asciiTheme="minorHAnsi" w:hAnsiTheme="minorHAnsi"/>
                <w:b w:val="0"/>
                <w:color w:val="auto"/>
                <w:sz w:val="22"/>
                <w:szCs w:val="22"/>
              </w:rPr>
              <w:t xml:space="preserve">Curriculum Design and Development </w:t>
            </w:r>
            <w:r w:rsidRPr="00191A8E">
              <w:rPr>
                <w:rStyle w:val="Heading2Char"/>
                <w:rFonts w:asciiTheme="minorHAnsi" w:hAnsiTheme="minorHAnsi"/>
                <w:b w:val="0"/>
                <w:color w:val="auto"/>
                <w:sz w:val="22"/>
                <w:szCs w:val="22"/>
              </w:rPr>
              <w:t>have been met and are explicit in the curriculum document.</w:t>
            </w:r>
          </w:p>
        </w:tc>
        <w:tc>
          <w:tcPr>
            <w:tcW w:w="1418" w:type="dxa"/>
          </w:tcPr>
          <w:p w:rsidR="00344AFF" w:rsidRDefault="00344AFF" w:rsidP="00344AFF">
            <w:pPr>
              <w:pStyle w:val="Footer"/>
              <w:jc w:val="both"/>
              <w:rPr>
                <w:rStyle w:val="Heading2Char"/>
                <w:rFonts w:asciiTheme="minorHAnsi" w:hAnsiTheme="minorHAnsi"/>
                <w:color w:val="auto"/>
                <w:sz w:val="22"/>
                <w:szCs w:val="22"/>
              </w:rPr>
            </w:pPr>
          </w:p>
        </w:tc>
        <w:tc>
          <w:tcPr>
            <w:tcW w:w="1302" w:type="dxa"/>
          </w:tcPr>
          <w:p w:rsidR="00344AFF" w:rsidRDefault="00344AFF" w:rsidP="00344AFF">
            <w:pPr>
              <w:pStyle w:val="Footer"/>
              <w:jc w:val="both"/>
              <w:rPr>
                <w:rStyle w:val="Heading2Char"/>
                <w:rFonts w:asciiTheme="minorHAnsi" w:hAnsiTheme="minorHAnsi"/>
                <w:color w:val="auto"/>
                <w:sz w:val="22"/>
                <w:szCs w:val="22"/>
              </w:rPr>
            </w:pPr>
          </w:p>
        </w:tc>
      </w:tr>
      <w:tr w:rsidR="00833470" w:rsidTr="00344AFF">
        <w:tc>
          <w:tcPr>
            <w:tcW w:w="10348" w:type="dxa"/>
            <w:shd w:val="clear" w:color="auto" w:fill="auto"/>
          </w:tcPr>
          <w:p w:rsidR="00833470" w:rsidRDefault="00833470" w:rsidP="00833470">
            <w:r w:rsidRPr="009B18AA">
              <w:rPr>
                <w:rStyle w:val="Heading2Char"/>
                <w:rFonts w:asciiTheme="minorHAnsi" w:hAnsiTheme="minorHAnsi"/>
                <w:b w:val="0"/>
                <w:color w:val="auto"/>
                <w:sz w:val="22"/>
                <w:szCs w:val="22"/>
              </w:rPr>
              <w:t>The requirements of standard 3.2.</w:t>
            </w:r>
            <w:r>
              <w:rPr>
                <w:rStyle w:val="Heading2Char"/>
                <w:rFonts w:asciiTheme="minorHAnsi" w:hAnsiTheme="minorHAnsi"/>
                <w:b w:val="0"/>
                <w:color w:val="auto"/>
                <w:sz w:val="22"/>
                <w:szCs w:val="22"/>
              </w:rPr>
              <w:t>2</w:t>
            </w:r>
            <w:r w:rsidRPr="009B18AA">
              <w:rPr>
                <w:rStyle w:val="Heading2Char"/>
                <w:rFonts w:asciiTheme="minorHAnsi" w:hAnsiTheme="minorHAnsi"/>
                <w:b w:val="0"/>
                <w:color w:val="auto"/>
                <w:sz w:val="22"/>
                <w:szCs w:val="22"/>
              </w:rPr>
              <w:t xml:space="preserve"> </w:t>
            </w:r>
            <w:r>
              <w:rPr>
                <w:rStyle w:val="Heading2Char"/>
                <w:rFonts w:asciiTheme="minorHAnsi" w:hAnsiTheme="minorHAnsi"/>
                <w:b w:val="0"/>
                <w:color w:val="auto"/>
                <w:sz w:val="22"/>
                <w:szCs w:val="22"/>
              </w:rPr>
              <w:t xml:space="preserve">Student Entry, Admission, Transfer, Discontinuation and Completion </w:t>
            </w:r>
            <w:r w:rsidRPr="009B18AA">
              <w:rPr>
                <w:rStyle w:val="Heading2Char"/>
                <w:rFonts w:asciiTheme="minorHAnsi" w:hAnsiTheme="minorHAnsi"/>
                <w:b w:val="0"/>
                <w:color w:val="auto"/>
                <w:sz w:val="22"/>
                <w:szCs w:val="22"/>
              </w:rPr>
              <w:t>have been met and are explicit in the curriculum document.</w:t>
            </w:r>
          </w:p>
        </w:tc>
        <w:tc>
          <w:tcPr>
            <w:tcW w:w="1418" w:type="dxa"/>
          </w:tcPr>
          <w:p w:rsidR="00833470" w:rsidRDefault="00833470" w:rsidP="00344AFF">
            <w:pPr>
              <w:pStyle w:val="Footer"/>
              <w:jc w:val="both"/>
              <w:rPr>
                <w:rStyle w:val="Heading2Char"/>
                <w:rFonts w:asciiTheme="minorHAnsi" w:hAnsiTheme="minorHAnsi"/>
                <w:color w:val="auto"/>
                <w:sz w:val="22"/>
                <w:szCs w:val="22"/>
              </w:rPr>
            </w:pPr>
          </w:p>
        </w:tc>
        <w:tc>
          <w:tcPr>
            <w:tcW w:w="1302" w:type="dxa"/>
          </w:tcPr>
          <w:p w:rsidR="00833470" w:rsidRDefault="00833470" w:rsidP="00344AFF">
            <w:pPr>
              <w:pStyle w:val="Footer"/>
              <w:jc w:val="both"/>
              <w:rPr>
                <w:rStyle w:val="Heading2Char"/>
                <w:rFonts w:asciiTheme="minorHAnsi" w:hAnsiTheme="minorHAnsi"/>
                <w:color w:val="auto"/>
                <w:sz w:val="22"/>
                <w:szCs w:val="22"/>
              </w:rPr>
            </w:pPr>
          </w:p>
        </w:tc>
      </w:tr>
      <w:tr w:rsidR="00833470" w:rsidTr="00344AFF">
        <w:tc>
          <w:tcPr>
            <w:tcW w:w="10348" w:type="dxa"/>
            <w:shd w:val="clear" w:color="auto" w:fill="auto"/>
          </w:tcPr>
          <w:p w:rsidR="00833470" w:rsidRDefault="00833470" w:rsidP="00833470">
            <w:r w:rsidRPr="009B18AA">
              <w:rPr>
                <w:rStyle w:val="Heading2Char"/>
                <w:rFonts w:asciiTheme="minorHAnsi" w:hAnsiTheme="minorHAnsi"/>
                <w:b w:val="0"/>
                <w:color w:val="auto"/>
                <w:sz w:val="22"/>
                <w:szCs w:val="22"/>
              </w:rPr>
              <w:t>The requirements of standard 3.2.</w:t>
            </w:r>
            <w:r>
              <w:rPr>
                <w:rStyle w:val="Heading2Char"/>
                <w:rFonts w:asciiTheme="minorHAnsi" w:hAnsiTheme="minorHAnsi"/>
                <w:b w:val="0"/>
                <w:color w:val="auto"/>
                <w:sz w:val="22"/>
                <w:szCs w:val="22"/>
              </w:rPr>
              <w:t>3</w:t>
            </w:r>
            <w:r w:rsidRPr="009B18AA">
              <w:rPr>
                <w:rStyle w:val="Heading2Char"/>
                <w:rFonts w:asciiTheme="minorHAnsi" w:hAnsiTheme="minorHAnsi"/>
                <w:b w:val="0"/>
                <w:color w:val="auto"/>
                <w:sz w:val="22"/>
                <w:szCs w:val="22"/>
              </w:rPr>
              <w:t xml:space="preserve"> </w:t>
            </w:r>
            <w:r>
              <w:rPr>
                <w:rStyle w:val="Heading2Char"/>
                <w:rFonts w:asciiTheme="minorHAnsi" w:hAnsiTheme="minorHAnsi"/>
                <w:b w:val="0"/>
                <w:color w:val="auto"/>
                <w:sz w:val="22"/>
                <w:szCs w:val="22"/>
              </w:rPr>
              <w:t xml:space="preserve">Programme Governance and Management </w:t>
            </w:r>
            <w:r w:rsidRPr="009B18AA">
              <w:rPr>
                <w:rStyle w:val="Heading2Char"/>
                <w:rFonts w:asciiTheme="minorHAnsi" w:hAnsiTheme="minorHAnsi"/>
                <w:b w:val="0"/>
                <w:color w:val="auto"/>
                <w:sz w:val="22"/>
                <w:szCs w:val="22"/>
              </w:rPr>
              <w:t>have been met and are explicit in the curriculum document.</w:t>
            </w:r>
          </w:p>
        </w:tc>
        <w:tc>
          <w:tcPr>
            <w:tcW w:w="1418" w:type="dxa"/>
          </w:tcPr>
          <w:p w:rsidR="00833470" w:rsidRDefault="00833470" w:rsidP="00344AFF">
            <w:pPr>
              <w:pStyle w:val="Footer"/>
              <w:jc w:val="both"/>
              <w:rPr>
                <w:rStyle w:val="Heading2Char"/>
                <w:rFonts w:asciiTheme="minorHAnsi" w:hAnsiTheme="minorHAnsi"/>
                <w:color w:val="auto"/>
                <w:sz w:val="22"/>
                <w:szCs w:val="22"/>
              </w:rPr>
            </w:pPr>
          </w:p>
        </w:tc>
        <w:tc>
          <w:tcPr>
            <w:tcW w:w="1302" w:type="dxa"/>
          </w:tcPr>
          <w:p w:rsidR="00833470" w:rsidRDefault="00833470" w:rsidP="00344AFF">
            <w:pPr>
              <w:pStyle w:val="Footer"/>
              <w:jc w:val="both"/>
              <w:rPr>
                <w:rStyle w:val="Heading2Char"/>
                <w:rFonts w:asciiTheme="minorHAnsi" w:hAnsiTheme="minorHAnsi"/>
                <w:color w:val="auto"/>
                <w:sz w:val="22"/>
                <w:szCs w:val="22"/>
              </w:rPr>
            </w:pPr>
          </w:p>
        </w:tc>
      </w:tr>
      <w:tr w:rsidR="00833470" w:rsidTr="00344AFF">
        <w:tc>
          <w:tcPr>
            <w:tcW w:w="10348" w:type="dxa"/>
            <w:shd w:val="clear" w:color="auto" w:fill="auto"/>
          </w:tcPr>
          <w:p w:rsidR="00833470" w:rsidRDefault="00833470" w:rsidP="00833470">
            <w:r w:rsidRPr="009B18AA">
              <w:rPr>
                <w:rStyle w:val="Heading2Char"/>
                <w:rFonts w:asciiTheme="minorHAnsi" w:hAnsiTheme="minorHAnsi"/>
                <w:b w:val="0"/>
                <w:color w:val="auto"/>
                <w:sz w:val="22"/>
                <w:szCs w:val="22"/>
              </w:rPr>
              <w:t>The requirements of standard 3.2.</w:t>
            </w:r>
            <w:r>
              <w:rPr>
                <w:rStyle w:val="Heading2Char"/>
                <w:rFonts w:asciiTheme="minorHAnsi" w:hAnsiTheme="minorHAnsi"/>
                <w:b w:val="0"/>
                <w:color w:val="auto"/>
                <w:sz w:val="22"/>
                <w:szCs w:val="22"/>
              </w:rPr>
              <w:t>4</w:t>
            </w:r>
            <w:r w:rsidRPr="009B18AA">
              <w:rPr>
                <w:rStyle w:val="Heading2Char"/>
                <w:rFonts w:asciiTheme="minorHAnsi" w:hAnsiTheme="minorHAnsi"/>
                <w:b w:val="0"/>
                <w:color w:val="auto"/>
                <w:sz w:val="22"/>
                <w:szCs w:val="22"/>
              </w:rPr>
              <w:t xml:space="preserve"> </w:t>
            </w:r>
            <w:r>
              <w:rPr>
                <w:rStyle w:val="Heading2Char"/>
                <w:rFonts w:asciiTheme="minorHAnsi" w:hAnsiTheme="minorHAnsi"/>
                <w:b w:val="0"/>
                <w:color w:val="auto"/>
                <w:sz w:val="22"/>
                <w:szCs w:val="22"/>
              </w:rPr>
              <w:t xml:space="preserve">Student Support, Supervision and Learning Resources </w:t>
            </w:r>
            <w:r w:rsidRPr="009B18AA">
              <w:rPr>
                <w:rStyle w:val="Heading2Char"/>
                <w:rFonts w:asciiTheme="minorHAnsi" w:hAnsiTheme="minorHAnsi"/>
                <w:b w:val="0"/>
                <w:color w:val="auto"/>
                <w:sz w:val="22"/>
                <w:szCs w:val="22"/>
              </w:rPr>
              <w:t>have been met and are explicit in the curriculum document.</w:t>
            </w:r>
          </w:p>
        </w:tc>
        <w:tc>
          <w:tcPr>
            <w:tcW w:w="1418" w:type="dxa"/>
          </w:tcPr>
          <w:p w:rsidR="00833470" w:rsidRDefault="00833470" w:rsidP="00344AFF">
            <w:pPr>
              <w:pStyle w:val="Footer"/>
              <w:jc w:val="both"/>
              <w:rPr>
                <w:rStyle w:val="Heading2Char"/>
                <w:rFonts w:asciiTheme="minorHAnsi" w:hAnsiTheme="minorHAnsi"/>
                <w:color w:val="auto"/>
                <w:sz w:val="22"/>
                <w:szCs w:val="22"/>
              </w:rPr>
            </w:pPr>
          </w:p>
        </w:tc>
        <w:tc>
          <w:tcPr>
            <w:tcW w:w="1302" w:type="dxa"/>
          </w:tcPr>
          <w:p w:rsidR="00833470" w:rsidRDefault="00833470" w:rsidP="00344AFF">
            <w:pPr>
              <w:pStyle w:val="Footer"/>
              <w:jc w:val="both"/>
              <w:rPr>
                <w:rStyle w:val="Heading2Char"/>
                <w:rFonts w:asciiTheme="minorHAnsi" w:hAnsiTheme="minorHAnsi"/>
                <w:color w:val="auto"/>
                <w:sz w:val="22"/>
                <w:szCs w:val="22"/>
              </w:rPr>
            </w:pPr>
          </w:p>
        </w:tc>
      </w:tr>
      <w:tr w:rsidR="00833470" w:rsidTr="00344AFF">
        <w:tc>
          <w:tcPr>
            <w:tcW w:w="10348" w:type="dxa"/>
            <w:shd w:val="clear" w:color="auto" w:fill="auto"/>
          </w:tcPr>
          <w:p w:rsidR="00833470" w:rsidRDefault="00833470" w:rsidP="00833470">
            <w:r w:rsidRPr="009B18AA">
              <w:rPr>
                <w:rStyle w:val="Heading2Char"/>
                <w:rFonts w:asciiTheme="minorHAnsi" w:hAnsiTheme="minorHAnsi"/>
                <w:b w:val="0"/>
                <w:color w:val="auto"/>
                <w:sz w:val="22"/>
                <w:szCs w:val="22"/>
              </w:rPr>
              <w:t>The requirements of standard 3.2.</w:t>
            </w:r>
            <w:r>
              <w:rPr>
                <w:rStyle w:val="Heading2Char"/>
                <w:rFonts w:asciiTheme="minorHAnsi" w:hAnsiTheme="minorHAnsi"/>
                <w:b w:val="0"/>
                <w:color w:val="auto"/>
                <w:sz w:val="22"/>
                <w:szCs w:val="22"/>
              </w:rPr>
              <w:t>5</w:t>
            </w:r>
            <w:r w:rsidRPr="009B18AA">
              <w:rPr>
                <w:rStyle w:val="Heading2Char"/>
                <w:rFonts w:asciiTheme="minorHAnsi" w:hAnsiTheme="minorHAnsi"/>
                <w:b w:val="0"/>
                <w:color w:val="auto"/>
                <w:sz w:val="22"/>
                <w:szCs w:val="22"/>
              </w:rPr>
              <w:t xml:space="preserve"> </w:t>
            </w:r>
            <w:r>
              <w:rPr>
                <w:rStyle w:val="Heading2Char"/>
                <w:rFonts w:asciiTheme="minorHAnsi" w:hAnsiTheme="minorHAnsi"/>
                <w:b w:val="0"/>
                <w:color w:val="auto"/>
                <w:sz w:val="22"/>
                <w:szCs w:val="22"/>
              </w:rPr>
              <w:t xml:space="preserve">Assessment Strategies </w:t>
            </w:r>
            <w:r w:rsidRPr="009B18AA">
              <w:rPr>
                <w:rStyle w:val="Heading2Char"/>
                <w:rFonts w:asciiTheme="minorHAnsi" w:hAnsiTheme="minorHAnsi"/>
                <w:b w:val="0"/>
                <w:color w:val="auto"/>
                <w:sz w:val="22"/>
                <w:szCs w:val="22"/>
              </w:rPr>
              <w:t>have been met and are explicit in the curriculum document.</w:t>
            </w:r>
          </w:p>
        </w:tc>
        <w:tc>
          <w:tcPr>
            <w:tcW w:w="1418" w:type="dxa"/>
          </w:tcPr>
          <w:p w:rsidR="00833470" w:rsidRDefault="00833470" w:rsidP="00344AFF">
            <w:pPr>
              <w:pStyle w:val="Footer"/>
              <w:jc w:val="both"/>
              <w:rPr>
                <w:rStyle w:val="Heading2Char"/>
                <w:rFonts w:asciiTheme="minorHAnsi" w:hAnsiTheme="minorHAnsi"/>
                <w:color w:val="auto"/>
                <w:sz w:val="22"/>
                <w:szCs w:val="22"/>
              </w:rPr>
            </w:pPr>
          </w:p>
        </w:tc>
        <w:tc>
          <w:tcPr>
            <w:tcW w:w="1302" w:type="dxa"/>
          </w:tcPr>
          <w:p w:rsidR="00833470" w:rsidRDefault="00833470" w:rsidP="00344AFF">
            <w:pPr>
              <w:pStyle w:val="Footer"/>
              <w:jc w:val="both"/>
              <w:rPr>
                <w:rStyle w:val="Heading2Char"/>
                <w:rFonts w:asciiTheme="minorHAnsi" w:hAnsiTheme="minorHAnsi"/>
                <w:color w:val="auto"/>
                <w:sz w:val="22"/>
                <w:szCs w:val="22"/>
              </w:rPr>
            </w:pPr>
          </w:p>
        </w:tc>
      </w:tr>
      <w:tr w:rsidR="00344AFF" w:rsidTr="00344AFF">
        <w:trPr>
          <w:trHeight w:val="821"/>
        </w:trPr>
        <w:tc>
          <w:tcPr>
            <w:tcW w:w="10348" w:type="dxa"/>
            <w:shd w:val="clear" w:color="auto" w:fill="auto"/>
          </w:tcPr>
          <w:p w:rsidR="00344AFF" w:rsidRPr="00191A8E" w:rsidRDefault="00344AFF" w:rsidP="00344AFF">
            <w:pPr>
              <w:pStyle w:val="Footer"/>
              <w:jc w:val="both"/>
              <w:rPr>
                <w:rStyle w:val="Heading2Char"/>
                <w:rFonts w:asciiTheme="minorHAnsi" w:hAnsiTheme="minorHAnsi"/>
                <w:b w:val="0"/>
                <w:color w:val="auto"/>
                <w:sz w:val="22"/>
                <w:szCs w:val="22"/>
              </w:rPr>
            </w:pPr>
          </w:p>
          <w:p w:rsidR="00344AFF" w:rsidRPr="00191A8E" w:rsidRDefault="00833470" w:rsidP="00833470">
            <w:pPr>
              <w:pStyle w:val="Footer"/>
              <w:jc w:val="both"/>
              <w:rPr>
                <w:rStyle w:val="Heading2Char"/>
                <w:rFonts w:asciiTheme="minorHAnsi" w:hAnsiTheme="minorHAnsi"/>
                <w:b w:val="0"/>
                <w:color w:val="auto"/>
                <w:sz w:val="22"/>
                <w:szCs w:val="22"/>
              </w:rPr>
            </w:pPr>
            <w:r>
              <w:rPr>
                <w:rStyle w:val="Heading2Char"/>
                <w:rFonts w:asciiTheme="minorHAnsi" w:hAnsiTheme="minorHAnsi"/>
                <w:b w:val="0"/>
                <w:color w:val="auto"/>
                <w:sz w:val="22"/>
                <w:szCs w:val="22"/>
              </w:rPr>
              <w:t>Have s</w:t>
            </w:r>
            <w:r w:rsidR="00344AFF" w:rsidRPr="00191A8E">
              <w:rPr>
                <w:rStyle w:val="Heading2Char"/>
                <w:rFonts w:asciiTheme="minorHAnsi" w:hAnsiTheme="minorHAnsi"/>
                <w:b w:val="0"/>
                <w:color w:val="auto"/>
                <w:sz w:val="22"/>
                <w:szCs w:val="22"/>
              </w:rPr>
              <w:t>ubmit</w:t>
            </w:r>
            <w:r>
              <w:rPr>
                <w:rStyle w:val="Heading2Char"/>
                <w:rFonts w:asciiTheme="minorHAnsi" w:hAnsiTheme="minorHAnsi"/>
                <w:b w:val="0"/>
                <w:color w:val="auto"/>
                <w:sz w:val="22"/>
                <w:szCs w:val="22"/>
              </w:rPr>
              <w:t>ted</w:t>
            </w:r>
            <w:r w:rsidR="00344AFF" w:rsidRPr="00191A8E">
              <w:rPr>
                <w:rStyle w:val="Heading2Char"/>
                <w:rFonts w:asciiTheme="minorHAnsi" w:hAnsiTheme="minorHAnsi"/>
                <w:b w:val="0"/>
                <w:color w:val="auto"/>
                <w:sz w:val="22"/>
                <w:szCs w:val="22"/>
              </w:rPr>
              <w:t xml:space="preserve"> an electronic copy of the curriculum document.</w:t>
            </w:r>
          </w:p>
        </w:tc>
        <w:tc>
          <w:tcPr>
            <w:tcW w:w="1418" w:type="dxa"/>
          </w:tcPr>
          <w:p w:rsidR="00344AFF" w:rsidRDefault="00344AFF" w:rsidP="00344AFF">
            <w:pPr>
              <w:pStyle w:val="Footer"/>
              <w:jc w:val="both"/>
              <w:rPr>
                <w:rStyle w:val="Heading2Char"/>
                <w:rFonts w:asciiTheme="minorHAnsi" w:hAnsiTheme="minorHAnsi"/>
                <w:color w:val="auto"/>
                <w:sz w:val="22"/>
                <w:szCs w:val="22"/>
              </w:rPr>
            </w:pPr>
          </w:p>
          <w:p w:rsidR="00344AFF" w:rsidRDefault="00344AFF" w:rsidP="00344AFF">
            <w:pPr>
              <w:pStyle w:val="Footer"/>
              <w:jc w:val="both"/>
              <w:rPr>
                <w:rStyle w:val="Heading2Char"/>
                <w:rFonts w:asciiTheme="minorHAnsi" w:hAnsiTheme="minorHAnsi"/>
                <w:color w:val="auto"/>
                <w:sz w:val="22"/>
                <w:szCs w:val="22"/>
              </w:rPr>
            </w:pPr>
          </w:p>
          <w:p w:rsidR="00344AFF" w:rsidRDefault="00344AFF" w:rsidP="00344AFF">
            <w:pPr>
              <w:pStyle w:val="Footer"/>
              <w:jc w:val="both"/>
              <w:rPr>
                <w:rStyle w:val="Heading2Char"/>
                <w:rFonts w:asciiTheme="minorHAnsi" w:hAnsiTheme="minorHAnsi"/>
                <w:color w:val="auto"/>
                <w:sz w:val="22"/>
                <w:szCs w:val="22"/>
              </w:rPr>
            </w:pPr>
          </w:p>
        </w:tc>
        <w:tc>
          <w:tcPr>
            <w:tcW w:w="1302" w:type="dxa"/>
          </w:tcPr>
          <w:p w:rsidR="00344AFF" w:rsidRDefault="00344AFF" w:rsidP="00344AFF">
            <w:pPr>
              <w:pStyle w:val="Footer"/>
              <w:jc w:val="both"/>
              <w:rPr>
                <w:rStyle w:val="Heading2Char"/>
                <w:rFonts w:asciiTheme="minorHAnsi" w:hAnsiTheme="minorHAnsi"/>
                <w:color w:val="auto"/>
                <w:sz w:val="22"/>
                <w:szCs w:val="22"/>
              </w:rPr>
            </w:pPr>
          </w:p>
        </w:tc>
      </w:tr>
    </w:tbl>
    <w:p w:rsidR="00344AFF" w:rsidRPr="005D6C06" w:rsidRDefault="00344AFF" w:rsidP="00344AFF">
      <w:pPr>
        <w:pStyle w:val="Footer"/>
        <w:jc w:val="both"/>
        <w:rPr>
          <w:rStyle w:val="Heading2Char"/>
          <w:rFonts w:asciiTheme="minorHAnsi" w:hAnsiTheme="minorHAnsi"/>
          <w:color w:val="auto"/>
          <w:sz w:val="22"/>
          <w:szCs w:val="22"/>
        </w:rPr>
      </w:pPr>
    </w:p>
    <w:p w:rsidR="00344AFF" w:rsidRDefault="00344AFF" w:rsidP="00833470">
      <w:pPr>
        <w:pStyle w:val="Footer"/>
        <w:rPr>
          <w:rStyle w:val="Heading2Char"/>
          <w:rFonts w:asciiTheme="minorHAnsi" w:hAnsiTheme="minorHAnsi"/>
          <w:b w:val="0"/>
          <w:color w:val="auto"/>
          <w:sz w:val="24"/>
          <w:szCs w:val="22"/>
        </w:rPr>
      </w:pPr>
      <w:r w:rsidRPr="00833470">
        <w:rPr>
          <w:rStyle w:val="Heading2Char"/>
          <w:rFonts w:asciiTheme="minorHAnsi" w:hAnsiTheme="minorHAnsi"/>
          <w:b w:val="0"/>
          <w:color w:val="auto"/>
          <w:sz w:val="22"/>
          <w:szCs w:val="22"/>
        </w:rPr>
        <w:t xml:space="preserve">We declare that the programme has met all the </w:t>
      </w:r>
      <w:r w:rsidR="00F308E0" w:rsidRPr="00833470">
        <w:rPr>
          <w:rStyle w:val="Heading2Char"/>
          <w:rFonts w:asciiTheme="minorHAnsi" w:hAnsiTheme="minorHAnsi"/>
          <w:b w:val="0"/>
          <w:color w:val="auto"/>
          <w:sz w:val="22"/>
          <w:szCs w:val="22"/>
        </w:rPr>
        <w:t xml:space="preserve">requirements </w:t>
      </w:r>
      <w:r w:rsidR="00F308E0">
        <w:rPr>
          <w:rStyle w:val="Heading2Char"/>
          <w:rFonts w:asciiTheme="minorHAnsi" w:hAnsiTheme="minorHAnsi"/>
          <w:b w:val="0"/>
          <w:color w:val="auto"/>
          <w:sz w:val="22"/>
          <w:szCs w:val="22"/>
        </w:rPr>
        <w:t xml:space="preserve">of </w:t>
      </w:r>
      <w:r w:rsidR="00833470" w:rsidRPr="00833470">
        <w:t xml:space="preserve">NMBI (2016) </w:t>
      </w:r>
      <w:r w:rsidR="00833470" w:rsidRPr="00833470">
        <w:rPr>
          <w:i/>
        </w:rPr>
        <w:t>Nurse Registration Programmes Standards and Requirements.</w:t>
      </w:r>
      <w:r w:rsidRPr="00833470">
        <w:rPr>
          <w:rStyle w:val="Heading2Char"/>
          <w:rFonts w:asciiTheme="minorHAnsi" w:hAnsiTheme="minorHAnsi"/>
          <w:b w:val="0"/>
          <w:color w:val="auto"/>
          <w:sz w:val="22"/>
          <w:szCs w:val="22"/>
        </w:rPr>
        <w:t xml:space="preserve"> These standards and requirements are indicated and explicit in the submitted curriculum document</w:t>
      </w:r>
      <w:r>
        <w:rPr>
          <w:rStyle w:val="Heading2Char"/>
          <w:rFonts w:asciiTheme="minorHAnsi" w:hAnsiTheme="minorHAnsi"/>
          <w:b w:val="0"/>
          <w:color w:val="auto"/>
          <w:sz w:val="24"/>
          <w:szCs w:val="22"/>
        </w:rPr>
        <w:t>.</w:t>
      </w:r>
    </w:p>
    <w:p w:rsidR="00344AFF" w:rsidRDefault="00344AFF" w:rsidP="00344AFF">
      <w:pPr>
        <w:pStyle w:val="Footer"/>
        <w:jc w:val="both"/>
        <w:rPr>
          <w:rStyle w:val="Heading2Char"/>
          <w:rFonts w:asciiTheme="minorHAnsi" w:hAnsiTheme="minorHAnsi"/>
          <w:b w:val="0"/>
          <w:color w:val="auto"/>
          <w:sz w:val="24"/>
          <w:szCs w:val="22"/>
        </w:rPr>
      </w:pPr>
    </w:p>
    <w:p w:rsidR="00344AFF" w:rsidRDefault="00344AFF" w:rsidP="00344AFF">
      <w:pPr>
        <w:pStyle w:val="Footer"/>
        <w:jc w:val="both"/>
        <w:rPr>
          <w:rStyle w:val="Heading2Char"/>
          <w:rFonts w:asciiTheme="minorHAnsi" w:hAnsiTheme="minorHAnsi"/>
          <w:b w:val="0"/>
          <w:color w:val="auto"/>
          <w:sz w:val="24"/>
          <w:szCs w:val="22"/>
        </w:rPr>
      </w:pPr>
    </w:p>
    <w:p w:rsidR="00344AFF" w:rsidRDefault="00344AFF" w:rsidP="00344AFF">
      <w:pPr>
        <w:pStyle w:val="Footer"/>
        <w:jc w:val="both"/>
        <w:rPr>
          <w:rStyle w:val="Heading2Char"/>
          <w:rFonts w:asciiTheme="minorHAnsi" w:hAnsiTheme="minorHAnsi"/>
          <w:b w:val="0"/>
          <w:color w:val="auto"/>
          <w:sz w:val="24"/>
          <w:szCs w:val="22"/>
        </w:rPr>
      </w:pPr>
    </w:p>
    <w:p w:rsidR="00344AFF" w:rsidRDefault="00344AFF" w:rsidP="00344AFF">
      <w:pPr>
        <w:pStyle w:val="Footer"/>
        <w:jc w:val="both"/>
        <w:rPr>
          <w:rStyle w:val="Heading2Char"/>
          <w:rFonts w:asciiTheme="minorHAnsi" w:hAnsiTheme="minorHAnsi"/>
          <w:b w:val="0"/>
          <w:color w:val="auto"/>
          <w:sz w:val="24"/>
          <w:szCs w:val="22"/>
        </w:rPr>
      </w:pPr>
      <w:r>
        <w:rPr>
          <w:rStyle w:val="Heading2Char"/>
          <w:rFonts w:asciiTheme="minorHAnsi" w:hAnsiTheme="minorHAnsi"/>
          <w:b w:val="0"/>
          <w:color w:val="auto"/>
          <w:sz w:val="24"/>
          <w:szCs w:val="22"/>
        </w:rPr>
        <w:t>________________________________________                                                _________________________________________</w:t>
      </w:r>
    </w:p>
    <w:p w:rsidR="00344AFF" w:rsidRDefault="00344AFF" w:rsidP="00344AFF">
      <w:pPr>
        <w:pStyle w:val="Footer"/>
        <w:jc w:val="both"/>
        <w:rPr>
          <w:rStyle w:val="Heading2Char"/>
          <w:rFonts w:asciiTheme="minorHAnsi" w:hAnsiTheme="minorHAnsi"/>
          <w:b w:val="0"/>
          <w:color w:val="auto"/>
          <w:sz w:val="22"/>
          <w:szCs w:val="22"/>
        </w:rPr>
      </w:pPr>
      <w:r w:rsidRPr="00B25840">
        <w:rPr>
          <w:rStyle w:val="Heading2Char"/>
          <w:rFonts w:asciiTheme="minorHAnsi" w:hAnsiTheme="minorHAnsi"/>
          <w:b w:val="0"/>
          <w:color w:val="auto"/>
          <w:sz w:val="22"/>
          <w:szCs w:val="22"/>
        </w:rPr>
        <w:t xml:space="preserve">                     Head of School    </w:t>
      </w:r>
      <w:r w:rsidRPr="00B25840">
        <w:rPr>
          <w:rStyle w:val="Heading2Char"/>
          <w:rFonts w:asciiTheme="minorHAnsi" w:hAnsiTheme="minorHAnsi"/>
          <w:b w:val="0"/>
          <w:color w:val="auto"/>
          <w:sz w:val="22"/>
          <w:szCs w:val="22"/>
        </w:rPr>
        <w:tab/>
      </w:r>
      <w:r w:rsidRPr="00B25840">
        <w:rPr>
          <w:rStyle w:val="Heading2Char"/>
          <w:rFonts w:asciiTheme="minorHAnsi" w:hAnsiTheme="minorHAnsi"/>
          <w:b w:val="0"/>
          <w:color w:val="auto"/>
          <w:sz w:val="22"/>
          <w:szCs w:val="22"/>
        </w:rPr>
        <w:tab/>
        <w:t xml:space="preserve">    </w:t>
      </w:r>
      <w:r w:rsidRPr="00B25840">
        <w:rPr>
          <w:rStyle w:val="Heading2Char"/>
          <w:rFonts w:asciiTheme="minorHAnsi" w:hAnsiTheme="minorHAnsi"/>
          <w:b w:val="0"/>
          <w:color w:val="auto"/>
          <w:sz w:val="22"/>
          <w:szCs w:val="22"/>
        </w:rPr>
        <w:tab/>
        <w:t xml:space="preserve">Programme Coordinator      </w:t>
      </w:r>
    </w:p>
    <w:p w:rsidR="00344AFF" w:rsidRDefault="00344AFF" w:rsidP="00344AFF">
      <w:pPr>
        <w:pStyle w:val="Footer"/>
        <w:jc w:val="both"/>
        <w:rPr>
          <w:rStyle w:val="Heading2Char"/>
          <w:rFonts w:asciiTheme="minorHAnsi" w:hAnsiTheme="minorHAnsi"/>
          <w:b w:val="0"/>
          <w:color w:val="auto"/>
          <w:sz w:val="22"/>
          <w:szCs w:val="22"/>
        </w:rPr>
      </w:pPr>
    </w:p>
    <w:p w:rsidR="00344AFF" w:rsidRDefault="00344AFF" w:rsidP="00344AFF">
      <w:pPr>
        <w:pStyle w:val="Footer"/>
        <w:jc w:val="both"/>
        <w:rPr>
          <w:rStyle w:val="Heading2Char"/>
          <w:rFonts w:asciiTheme="minorHAnsi" w:hAnsiTheme="minorHAnsi"/>
          <w:color w:val="2E74B5" w:themeColor="accent1" w:themeShade="BF"/>
          <w:sz w:val="22"/>
          <w:szCs w:val="22"/>
        </w:rPr>
      </w:pPr>
    </w:p>
    <w:p w:rsidR="00344AFF" w:rsidRDefault="00344AFF" w:rsidP="00344AFF">
      <w:pPr>
        <w:pStyle w:val="Footer"/>
        <w:jc w:val="both"/>
        <w:rPr>
          <w:rStyle w:val="Heading2Char"/>
          <w:rFonts w:asciiTheme="minorHAnsi" w:hAnsiTheme="minorHAnsi"/>
          <w:b w:val="0"/>
          <w:color w:val="2E74B5" w:themeColor="accent1" w:themeShade="BF"/>
          <w:sz w:val="22"/>
          <w:szCs w:val="22"/>
        </w:rPr>
      </w:pPr>
      <w:r w:rsidRPr="00191A8E">
        <w:rPr>
          <w:rStyle w:val="Heading2Char"/>
          <w:rFonts w:asciiTheme="minorHAnsi" w:hAnsiTheme="minorHAnsi"/>
          <w:color w:val="2E74B5" w:themeColor="accent1" w:themeShade="BF"/>
          <w:sz w:val="22"/>
          <w:szCs w:val="22"/>
        </w:rPr>
        <w:t>Note:</w:t>
      </w:r>
      <w:r>
        <w:rPr>
          <w:rStyle w:val="Heading2Char"/>
          <w:rFonts w:asciiTheme="minorHAnsi" w:hAnsiTheme="minorHAnsi"/>
          <w:b w:val="0"/>
          <w:color w:val="2E74B5" w:themeColor="accent1" w:themeShade="BF"/>
          <w:sz w:val="22"/>
          <w:szCs w:val="22"/>
        </w:rPr>
        <w:t xml:space="preserve"> Please sign over printed name</w:t>
      </w:r>
    </w:p>
    <w:p w:rsidR="00344AFF" w:rsidRPr="00B25840" w:rsidRDefault="00344AFF" w:rsidP="00344AFF">
      <w:pPr>
        <w:pStyle w:val="Footer"/>
        <w:jc w:val="both"/>
        <w:rPr>
          <w:rStyle w:val="Heading2Char"/>
          <w:rFonts w:asciiTheme="minorHAnsi" w:hAnsiTheme="minorHAnsi"/>
          <w:b w:val="0"/>
          <w:color w:val="auto"/>
          <w:sz w:val="22"/>
          <w:szCs w:val="22"/>
        </w:rPr>
      </w:pPr>
      <w:r w:rsidRPr="00B25840">
        <w:rPr>
          <w:rStyle w:val="Heading2Char"/>
          <w:rFonts w:asciiTheme="minorHAnsi" w:hAnsiTheme="minorHAnsi"/>
          <w:b w:val="0"/>
          <w:color w:val="auto"/>
          <w:sz w:val="22"/>
          <w:szCs w:val="22"/>
        </w:rPr>
        <w:t xml:space="preserve">                                                                                                                                                                             </w:t>
      </w:r>
    </w:p>
    <w:p w:rsidR="00344AFF" w:rsidRDefault="00344AFF" w:rsidP="00823BB8">
      <w:pPr>
        <w:rPr>
          <w:color w:val="FF0000"/>
        </w:rPr>
      </w:pPr>
    </w:p>
    <w:p w:rsidR="00344AFF" w:rsidRDefault="00344AFF" w:rsidP="00823BB8">
      <w:pPr>
        <w:rPr>
          <w:color w:val="FF0000"/>
        </w:rPr>
      </w:pPr>
    </w:p>
    <w:sectPr w:rsidR="00344AFF" w:rsidSect="00082460">
      <w:footerReference w:type="default" r:id="rId9"/>
      <w:footerReference w:type="first" r:id="rId10"/>
      <w:pgSz w:w="15840" w:h="12240" w:orient="landscape"/>
      <w:pgMar w:top="1134" w:right="1440" w:bottom="1276"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7EB" w:rsidRDefault="007C27EB" w:rsidP="002D0484">
      <w:pPr>
        <w:spacing w:after="0" w:line="240" w:lineRule="auto"/>
      </w:pPr>
      <w:r>
        <w:separator/>
      </w:r>
    </w:p>
  </w:endnote>
  <w:endnote w:type="continuationSeparator" w:id="0">
    <w:p w:rsidR="007C27EB" w:rsidRDefault="007C27EB" w:rsidP="002D0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096678"/>
      <w:docPartObj>
        <w:docPartGallery w:val="Page Numbers (Bottom of Page)"/>
        <w:docPartUnique/>
      </w:docPartObj>
    </w:sdtPr>
    <w:sdtEndPr>
      <w:rPr>
        <w:noProof/>
      </w:rPr>
    </w:sdtEndPr>
    <w:sdtContent>
      <w:p w:rsidR="00F308E0" w:rsidRDefault="00F308E0">
        <w:pPr>
          <w:pStyle w:val="Footer"/>
          <w:jc w:val="right"/>
        </w:pPr>
        <w:r>
          <w:fldChar w:fldCharType="begin"/>
        </w:r>
        <w:r>
          <w:instrText xml:space="preserve"> PAGE   \* MERGEFORMAT </w:instrText>
        </w:r>
        <w:r>
          <w:fldChar w:fldCharType="separate"/>
        </w:r>
        <w:r w:rsidR="0034433B">
          <w:rPr>
            <w:noProof/>
          </w:rPr>
          <w:t>26</w:t>
        </w:r>
        <w:r>
          <w:rPr>
            <w:noProof/>
          </w:rPr>
          <w:fldChar w:fldCharType="end"/>
        </w:r>
      </w:p>
    </w:sdtContent>
  </w:sdt>
  <w:p w:rsidR="00F308E0" w:rsidRDefault="00F308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8E0" w:rsidRPr="000C05B0" w:rsidRDefault="00F308E0" w:rsidP="00C64FF7">
    <w:pPr>
      <w:pStyle w:val="Footer"/>
      <w:rPr>
        <w:color w:val="9CC2E5" w:themeColor="accent1" w:themeTint="99"/>
      </w:rPr>
    </w:pPr>
    <w:r w:rsidRPr="000C05B0">
      <w:rPr>
        <w:color w:val="9CC2E5" w:themeColor="accent1" w:themeTint="99"/>
      </w:rPr>
      <w:t xml:space="preserve">NMBI (2016) </w:t>
    </w:r>
    <w:r w:rsidRPr="000C05B0">
      <w:rPr>
        <w:i/>
        <w:color w:val="9CC2E5" w:themeColor="accent1" w:themeTint="99"/>
      </w:rPr>
      <w:t xml:space="preserve">Nurse Registration Programmes Standards and Requirements. </w:t>
    </w:r>
    <w:r w:rsidRPr="000C05B0">
      <w:rPr>
        <w:color w:val="9CC2E5" w:themeColor="accent1" w:themeTint="99"/>
      </w:rPr>
      <w:t>4</w:t>
    </w:r>
    <w:r w:rsidRPr="000C05B0">
      <w:rPr>
        <w:color w:val="9CC2E5" w:themeColor="accent1" w:themeTint="99"/>
        <w:vertAlign w:val="superscript"/>
      </w:rPr>
      <w:t>th</w:t>
    </w:r>
    <w:r w:rsidRPr="000C05B0">
      <w:rPr>
        <w:color w:val="9CC2E5" w:themeColor="accent1" w:themeTint="99"/>
      </w:rPr>
      <w:t xml:space="preserve"> edn</w:t>
    </w:r>
    <w:r w:rsidRPr="000C05B0">
      <w:rPr>
        <w:i/>
        <w:color w:val="9CC2E5" w:themeColor="accent1" w:themeTint="99"/>
      </w:rPr>
      <w:t>.</w:t>
    </w:r>
    <w:r w:rsidRPr="000C05B0">
      <w:rPr>
        <w:color w:val="9CC2E5" w:themeColor="accent1" w:themeTint="99"/>
      </w:rPr>
      <w:t xml:space="preserve"> Nursing and Midwifery Board of Ireland, Dublin.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7EB" w:rsidRDefault="007C27EB" w:rsidP="002D0484">
      <w:pPr>
        <w:spacing w:after="0" w:line="240" w:lineRule="auto"/>
      </w:pPr>
      <w:r>
        <w:separator/>
      </w:r>
    </w:p>
  </w:footnote>
  <w:footnote w:type="continuationSeparator" w:id="0">
    <w:p w:rsidR="007C27EB" w:rsidRDefault="007C27EB" w:rsidP="002D04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37C"/>
    <w:rsid w:val="00012CFF"/>
    <w:rsid w:val="00054973"/>
    <w:rsid w:val="00082460"/>
    <w:rsid w:val="00086388"/>
    <w:rsid w:val="00093C2D"/>
    <w:rsid w:val="000C05B0"/>
    <w:rsid w:val="000D233F"/>
    <w:rsid w:val="00102406"/>
    <w:rsid w:val="00166950"/>
    <w:rsid w:val="001A1C4C"/>
    <w:rsid w:val="001B34C3"/>
    <w:rsid w:val="001C30AF"/>
    <w:rsid w:val="001D5319"/>
    <w:rsid w:val="002010CA"/>
    <w:rsid w:val="002C2712"/>
    <w:rsid w:val="002D0484"/>
    <w:rsid w:val="002E18B7"/>
    <w:rsid w:val="0031014C"/>
    <w:rsid w:val="00321B3D"/>
    <w:rsid w:val="0034433B"/>
    <w:rsid w:val="00344AFF"/>
    <w:rsid w:val="003547A5"/>
    <w:rsid w:val="00371F5F"/>
    <w:rsid w:val="003A6FDB"/>
    <w:rsid w:val="00432D05"/>
    <w:rsid w:val="00433E4E"/>
    <w:rsid w:val="004E3E67"/>
    <w:rsid w:val="005A71C3"/>
    <w:rsid w:val="005D1750"/>
    <w:rsid w:val="00607E0E"/>
    <w:rsid w:val="0061637C"/>
    <w:rsid w:val="00623709"/>
    <w:rsid w:val="00627A45"/>
    <w:rsid w:val="006342D5"/>
    <w:rsid w:val="006507EF"/>
    <w:rsid w:val="00650C3C"/>
    <w:rsid w:val="00660A70"/>
    <w:rsid w:val="006A137E"/>
    <w:rsid w:val="006C139C"/>
    <w:rsid w:val="00706FBE"/>
    <w:rsid w:val="00746C34"/>
    <w:rsid w:val="00753523"/>
    <w:rsid w:val="00760228"/>
    <w:rsid w:val="00767746"/>
    <w:rsid w:val="007A3E91"/>
    <w:rsid w:val="007C0CB7"/>
    <w:rsid w:val="007C27EB"/>
    <w:rsid w:val="007D3332"/>
    <w:rsid w:val="007D7B3F"/>
    <w:rsid w:val="007E310F"/>
    <w:rsid w:val="00810BBA"/>
    <w:rsid w:val="00820DE3"/>
    <w:rsid w:val="00823BB8"/>
    <w:rsid w:val="00830854"/>
    <w:rsid w:val="00833470"/>
    <w:rsid w:val="00845946"/>
    <w:rsid w:val="008834C2"/>
    <w:rsid w:val="00890A2C"/>
    <w:rsid w:val="008E5E0D"/>
    <w:rsid w:val="008E68D5"/>
    <w:rsid w:val="00921B57"/>
    <w:rsid w:val="00926043"/>
    <w:rsid w:val="00961639"/>
    <w:rsid w:val="009669C1"/>
    <w:rsid w:val="00985875"/>
    <w:rsid w:val="009A3304"/>
    <w:rsid w:val="009B407A"/>
    <w:rsid w:val="009D16CC"/>
    <w:rsid w:val="009E3A56"/>
    <w:rsid w:val="00A302C9"/>
    <w:rsid w:val="00AE1909"/>
    <w:rsid w:val="00AE6EF0"/>
    <w:rsid w:val="00B0794F"/>
    <w:rsid w:val="00B15569"/>
    <w:rsid w:val="00B27788"/>
    <w:rsid w:val="00B33190"/>
    <w:rsid w:val="00B43B7A"/>
    <w:rsid w:val="00C256A9"/>
    <w:rsid w:val="00C54D8E"/>
    <w:rsid w:val="00C64FF7"/>
    <w:rsid w:val="00C74E18"/>
    <w:rsid w:val="00C7551B"/>
    <w:rsid w:val="00CC29A9"/>
    <w:rsid w:val="00CE55DD"/>
    <w:rsid w:val="00D144B2"/>
    <w:rsid w:val="00D30252"/>
    <w:rsid w:val="00D3063B"/>
    <w:rsid w:val="00D42F59"/>
    <w:rsid w:val="00DC7F0F"/>
    <w:rsid w:val="00DD55F4"/>
    <w:rsid w:val="00DE241D"/>
    <w:rsid w:val="00E351D2"/>
    <w:rsid w:val="00E543D7"/>
    <w:rsid w:val="00EC1E32"/>
    <w:rsid w:val="00F10538"/>
    <w:rsid w:val="00F14873"/>
    <w:rsid w:val="00F27E82"/>
    <w:rsid w:val="00F308E0"/>
    <w:rsid w:val="00F4338A"/>
    <w:rsid w:val="00FB1481"/>
    <w:rsid w:val="00FD7D66"/>
    <w:rsid w:val="00FF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IE"/>
    </w:rPr>
  </w:style>
  <w:style w:type="paragraph" w:styleId="Heading1">
    <w:name w:val="heading 1"/>
    <w:basedOn w:val="Normal"/>
    <w:next w:val="Normal"/>
    <w:link w:val="Heading1Char"/>
    <w:uiPriority w:val="9"/>
    <w:qFormat/>
    <w:rsid w:val="00746C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30A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6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46C34"/>
    <w:rPr>
      <w:rFonts w:asciiTheme="majorHAnsi" w:eastAsiaTheme="majorEastAsia" w:hAnsiTheme="majorHAnsi" w:cstheme="majorBidi"/>
      <w:color w:val="2E74B5" w:themeColor="accent1" w:themeShade="BF"/>
      <w:sz w:val="32"/>
      <w:szCs w:val="32"/>
      <w:lang w:val="en-IE"/>
    </w:rPr>
  </w:style>
  <w:style w:type="paragraph" w:styleId="BalloonText">
    <w:name w:val="Balloon Text"/>
    <w:basedOn w:val="Normal"/>
    <w:link w:val="BalloonTextChar"/>
    <w:uiPriority w:val="99"/>
    <w:semiHidden/>
    <w:unhideWhenUsed/>
    <w:rsid w:val="00321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B3D"/>
    <w:rPr>
      <w:rFonts w:ascii="Tahoma" w:hAnsi="Tahoma" w:cs="Tahoma"/>
      <w:sz w:val="16"/>
      <w:szCs w:val="16"/>
      <w:lang w:val="en-IE"/>
    </w:rPr>
  </w:style>
  <w:style w:type="paragraph" w:styleId="NoSpacing">
    <w:name w:val="No Spacing"/>
    <w:link w:val="NoSpacingChar"/>
    <w:uiPriority w:val="1"/>
    <w:qFormat/>
    <w:rsid w:val="001C30A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C30AF"/>
    <w:rPr>
      <w:rFonts w:eastAsiaTheme="minorEastAsia"/>
      <w:lang w:eastAsia="ja-JP"/>
    </w:rPr>
  </w:style>
  <w:style w:type="character" w:customStyle="1" w:styleId="Heading2Char">
    <w:name w:val="Heading 2 Char"/>
    <w:basedOn w:val="DefaultParagraphFont"/>
    <w:link w:val="Heading2"/>
    <w:uiPriority w:val="9"/>
    <w:rsid w:val="001C30AF"/>
    <w:rPr>
      <w:rFonts w:asciiTheme="majorHAnsi" w:eastAsiaTheme="majorEastAsia" w:hAnsiTheme="majorHAnsi" w:cstheme="majorBidi"/>
      <w:b/>
      <w:bCs/>
      <w:color w:val="5B9BD5" w:themeColor="accent1"/>
      <w:sz w:val="26"/>
      <w:szCs w:val="26"/>
      <w:lang w:val="en-IE"/>
    </w:rPr>
  </w:style>
  <w:style w:type="paragraph" w:styleId="Header">
    <w:name w:val="header"/>
    <w:basedOn w:val="Normal"/>
    <w:link w:val="HeaderChar"/>
    <w:uiPriority w:val="99"/>
    <w:unhideWhenUsed/>
    <w:rsid w:val="002D04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484"/>
    <w:rPr>
      <w:lang w:val="en-IE"/>
    </w:rPr>
  </w:style>
  <w:style w:type="paragraph" w:styleId="Footer">
    <w:name w:val="footer"/>
    <w:basedOn w:val="Normal"/>
    <w:link w:val="FooterChar"/>
    <w:uiPriority w:val="99"/>
    <w:unhideWhenUsed/>
    <w:rsid w:val="002D04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484"/>
    <w:rPr>
      <w:lang w:val="en-IE"/>
    </w:rPr>
  </w:style>
  <w:style w:type="paragraph" w:styleId="Quote">
    <w:name w:val="Quote"/>
    <w:basedOn w:val="Normal"/>
    <w:next w:val="Normal"/>
    <w:link w:val="QuoteChar"/>
    <w:uiPriority w:val="29"/>
    <w:qFormat/>
    <w:rsid w:val="000C05B0"/>
    <w:pPr>
      <w:spacing w:after="200" w:line="276" w:lineRule="auto"/>
    </w:pPr>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0C05B0"/>
    <w:rPr>
      <w:rFonts w:eastAsiaTheme="minorEastAsia"/>
      <w:i/>
      <w:iCs/>
      <w:color w:val="000000" w:themeColor="text1"/>
      <w:lang w:eastAsia="ja-JP"/>
    </w:rPr>
  </w:style>
  <w:style w:type="table" w:customStyle="1" w:styleId="ANMAC2">
    <w:name w:val="ANMAC 2"/>
    <w:basedOn w:val="TableNormal"/>
    <w:uiPriority w:val="99"/>
    <w:rsid w:val="009E3A56"/>
    <w:pPr>
      <w:spacing w:after="0" w:line="240" w:lineRule="auto"/>
    </w:pPr>
    <w:rPr>
      <w:rFonts w:ascii="Courier" w:hAnsi="Courier" w:cs="Times New Roman"/>
      <w:sz w:val="20"/>
      <w:szCs w:val="20"/>
      <w:lang w:val="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tcPr>
      <w:shd w:val="clear" w:color="auto" w:fill="FFFFFF"/>
    </w:tcPr>
    <w:tblStylePr w:type="firstCol">
      <w:tblPr/>
      <w:tcPr>
        <w:shd w:val="clear" w:color="auto" w:fill="9BBB59"/>
      </w:tcPr>
    </w:tblStylePr>
  </w:style>
  <w:style w:type="paragraph" w:customStyle="1" w:styleId="TableText">
    <w:name w:val="Table Text"/>
    <w:uiPriority w:val="19"/>
    <w:qFormat/>
    <w:rsid w:val="009E3A56"/>
    <w:pPr>
      <w:spacing w:before="60" w:after="60" w:line="260" w:lineRule="atLeast"/>
      <w:ind w:left="85" w:right="85"/>
    </w:pPr>
    <w:rPr>
      <w:rFonts w:cs="Times New Roman"/>
      <w:color w:val="000000" w:themeColor="text1"/>
      <w:sz w:val="20"/>
      <w:szCs w:val="20"/>
      <w:lang w:val="en-AU"/>
    </w:rPr>
  </w:style>
  <w:style w:type="paragraph" w:customStyle="1" w:styleId="TableSubheading">
    <w:name w:val="Table Subheading"/>
    <w:basedOn w:val="TableText"/>
    <w:next w:val="TableText"/>
    <w:uiPriority w:val="20"/>
    <w:qFormat/>
    <w:rsid w:val="009E3A56"/>
    <w:pPr>
      <w:keepNext/>
      <w:keepLines/>
      <w:jc w:val="center"/>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IE"/>
    </w:rPr>
  </w:style>
  <w:style w:type="paragraph" w:styleId="Heading1">
    <w:name w:val="heading 1"/>
    <w:basedOn w:val="Normal"/>
    <w:next w:val="Normal"/>
    <w:link w:val="Heading1Char"/>
    <w:uiPriority w:val="9"/>
    <w:qFormat/>
    <w:rsid w:val="00746C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30A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6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46C34"/>
    <w:rPr>
      <w:rFonts w:asciiTheme="majorHAnsi" w:eastAsiaTheme="majorEastAsia" w:hAnsiTheme="majorHAnsi" w:cstheme="majorBidi"/>
      <w:color w:val="2E74B5" w:themeColor="accent1" w:themeShade="BF"/>
      <w:sz w:val="32"/>
      <w:szCs w:val="32"/>
      <w:lang w:val="en-IE"/>
    </w:rPr>
  </w:style>
  <w:style w:type="paragraph" w:styleId="BalloonText">
    <w:name w:val="Balloon Text"/>
    <w:basedOn w:val="Normal"/>
    <w:link w:val="BalloonTextChar"/>
    <w:uiPriority w:val="99"/>
    <w:semiHidden/>
    <w:unhideWhenUsed/>
    <w:rsid w:val="00321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B3D"/>
    <w:rPr>
      <w:rFonts w:ascii="Tahoma" w:hAnsi="Tahoma" w:cs="Tahoma"/>
      <w:sz w:val="16"/>
      <w:szCs w:val="16"/>
      <w:lang w:val="en-IE"/>
    </w:rPr>
  </w:style>
  <w:style w:type="paragraph" w:styleId="NoSpacing">
    <w:name w:val="No Spacing"/>
    <w:link w:val="NoSpacingChar"/>
    <w:uiPriority w:val="1"/>
    <w:qFormat/>
    <w:rsid w:val="001C30A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C30AF"/>
    <w:rPr>
      <w:rFonts w:eastAsiaTheme="minorEastAsia"/>
      <w:lang w:eastAsia="ja-JP"/>
    </w:rPr>
  </w:style>
  <w:style w:type="character" w:customStyle="1" w:styleId="Heading2Char">
    <w:name w:val="Heading 2 Char"/>
    <w:basedOn w:val="DefaultParagraphFont"/>
    <w:link w:val="Heading2"/>
    <w:uiPriority w:val="9"/>
    <w:rsid w:val="001C30AF"/>
    <w:rPr>
      <w:rFonts w:asciiTheme="majorHAnsi" w:eastAsiaTheme="majorEastAsia" w:hAnsiTheme="majorHAnsi" w:cstheme="majorBidi"/>
      <w:b/>
      <w:bCs/>
      <w:color w:val="5B9BD5" w:themeColor="accent1"/>
      <w:sz w:val="26"/>
      <w:szCs w:val="26"/>
      <w:lang w:val="en-IE"/>
    </w:rPr>
  </w:style>
  <w:style w:type="paragraph" w:styleId="Header">
    <w:name w:val="header"/>
    <w:basedOn w:val="Normal"/>
    <w:link w:val="HeaderChar"/>
    <w:uiPriority w:val="99"/>
    <w:unhideWhenUsed/>
    <w:rsid w:val="002D04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484"/>
    <w:rPr>
      <w:lang w:val="en-IE"/>
    </w:rPr>
  </w:style>
  <w:style w:type="paragraph" w:styleId="Footer">
    <w:name w:val="footer"/>
    <w:basedOn w:val="Normal"/>
    <w:link w:val="FooterChar"/>
    <w:uiPriority w:val="99"/>
    <w:unhideWhenUsed/>
    <w:rsid w:val="002D04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484"/>
    <w:rPr>
      <w:lang w:val="en-IE"/>
    </w:rPr>
  </w:style>
  <w:style w:type="paragraph" w:styleId="Quote">
    <w:name w:val="Quote"/>
    <w:basedOn w:val="Normal"/>
    <w:next w:val="Normal"/>
    <w:link w:val="QuoteChar"/>
    <w:uiPriority w:val="29"/>
    <w:qFormat/>
    <w:rsid w:val="000C05B0"/>
    <w:pPr>
      <w:spacing w:after="200" w:line="276" w:lineRule="auto"/>
    </w:pPr>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0C05B0"/>
    <w:rPr>
      <w:rFonts w:eastAsiaTheme="minorEastAsia"/>
      <w:i/>
      <w:iCs/>
      <w:color w:val="000000" w:themeColor="text1"/>
      <w:lang w:eastAsia="ja-JP"/>
    </w:rPr>
  </w:style>
  <w:style w:type="table" w:customStyle="1" w:styleId="ANMAC2">
    <w:name w:val="ANMAC 2"/>
    <w:basedOn w:val="TableNormal"/>
    <w:uiPriority w:val="99"/>
    <w:rsid w:val="009E3A56"/>
    <w:pPr>
      <w:spacing w:after="0" w:line="240" w:lineRule="auto"/>
    </w:pPr>
    <w:rPr>
      <w:rFonts w:ascii="Courier" w:hAnsi="Courier" w:cs="Times New Roman"/>
      <w:sz w:val="20"/>
      <w:szCs w:val="20"/>
      <w:lang w:val="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tcPr>
      <w:shd w:val="clear" w:color="auto" w:fill="FFFFFF"/>
    </w:tcPr>
    <w:tblStylePr w:type="firstCol">
      <w:tblPr/>
      <w:tcPr>
        <w:shd w:val="clear" w:color="auto" w:fill="9BBB59"/>
      </w:tcPr>
    </w:tblStylePr>
  </w:style>
  <w:style w:type="paragraph" w:customStyle="1" w:styleId="TableText">
    <w:name w:val="Table Text"/>
    <w:uiPriority w:val="19"/>
    <w:qFormat/>
    <w:rsid w:val="009E3A56"/>
    <w:pPr>
      <w:spacing w:before="60" w:after="60" w:line="260" w:lineRule="atLeast"/>
      <w:ind w:left="85" w:right="85"/>
    </w:pPr>
    <w:rPr>
      <w:rFonts w:cs="Times New Roman"/>
      <w:color w:val="000000" w:themeColor="text1"/>
      <w:sz w:val="20"/>
      <w:szCs w:val="20"/>
      <w:lang w:val="en-AU"/>
    </w:rPr>
  </w:style>
  <w:style w:type="paragraph" w:customStyle="1" w:styleId="TableSubheading">
    <w:name w:val="Table Subheading"/>
    <w:basedOn w:val="TableText"/>
    <w:next w:val="TableText"/>
    <w:uiPriority w:val="20"/>
    <w:qFormat/>
    <w:rsid w:val="009E3A56"/>
    <w:pPr>
      <w:keepNext/>
      <w:keepLines/>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826C8849BEC4DB990AEBF6A91911C62"/>
        <w:category>
          <w:name w:val="General"/>
          <w:gallery w:val="placeholder"/>
        </w:category>
        <w:types>
          <w:type w:val="bbPlcHdr"/>
        </w:types>
        <w:behaviors>
          <w:behavior w:val="content"/>
        </w:behaviors>
        <w:guid w:val="{CD680A94-EDA2-4A26-B137-F03195547327}"/>
      </w:docPartPr>
      <w:docPartBody>
        <w:p w:rsidR="007B2998" w:rsidRDefault="00083CA9" w:rsidP="00083CA9">
          <w:pPr>
            <w:pStyle w:val="9826C8849BEC4DB990AEBF6A91911C62"/>
          </w:pPr>
          <w:r>
            <w:rPr>
              <w:rFonts w:asciiTheme="majorHAnsi" w:eastAsiaTheme="majorEastAsia" w:hAnsiTheme="majorHAnsi" w:cstheme="majorBidi"/>
            </w:rPr>
            <w:t>[Type the company name]</w:t>
          </w:r>
        </w:p>
      </w:docPartBody>
    </w:docPart>
    <w:docPart>
      <w:docPartPr>
        <w:name w:val="680653A77D0D476CAE7A2FA38B0D352E"/>
        <w:category>
          <w:name w:val="General"/>
          <w:gallery w:val="placeholder"/>
        </w:category>
        <w:types>
          <w:type w:val="bbPlcHdr"/>
        </w:types>
        <w:behaviors>
          <w:behavior w:val="content"/>
        </w:behaviors>
        <w:guid w:val="{8103731A-3883-4343-9275-834D2E2A2C17}"/>
      </w:docPartPr>
      <w:docPartBody>
        <w:p w:rsidR="007B2998" w:rsidRDefault="00083CA9" w:rsidP="00083CA9">
          <w:pPr>
            <w:pStyle w:val="680653A77D0D476CAE7A2FA38B0D352E"/>
          </w:pPr>
          <w:r>
            <w:rPr>
              <w:rFonts w:asciiTheme="majorHAnsi" w:eastAsiaTheme="majorEastAsia" w:hAnsiTheme="majorHAnsi" w:cstheme="majorBidi"/>
              <w:color w:val="4F81BD" w:themeColor="accent1"/>
              <w:sz w:val="80"/>
              <w:szCs w:val="80"/>
            </w:rPr>
            <w:t>[Type the document title]</w:t>
          </w:r>
        </w:p>
      </w:docPartBody>
    </w:docPart>
    <w:docPart>
      <w:docPartPr>
        <w:name w:val="3D26DAC67D6D443ABB0E79011C188F09"/>
        <w:category>
          <w:name w:val="General"/>
          <w:gallery w:val="placeholder"/>
        </w:category>
        <w:types>
          <w:type w:val="bbPlcHdr"/>
        </w:types>
        <w:behaviors>
          <w:behavior w:val="content"/>
        </w:behaviors>
        <w:guid w:val="{AEA954BD-AFBC-433B-A0A4-F83CCB44509C}"/>
      </w:docPartPr>
      <w:docPartBody>
        <w:p w:rsidR="007B2998" w:rsidRDefault="00083CA9" w:rsidP="00083CA9">
          <w:pPr>
            <w:pStyle w:val="3D26DAC67D6D443ABB0E79011C188F09"/>
          </w:pPr>
          <w:r>
            <w:rPr>
              <w:rFonts w:asciiTheme="majorHAnsi" w:eastAsiaTheme="majorEastAsia" w:hAnsiTheme="majorHAnsi" w:cstheme="majorBidi"/>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CA9"/>
    <w:rsid w:val="00083CA9"/>
    <w:rsid w:val="000A351B"/>
    <w:rsid w:val="007B2998"/>
    <w:rsid w:val="00D5025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7CCDC8CB7B455FBF00D4ED78011F6A">
    <w:name w:val="0C7CCDC8CB7B455FBF00D4ED78011F6A"/>
    <w:rsid w:val="00083CA9"/>
  </w:style>
  <w:style w:type="paragraph" w:customStyle="1" w:styleId="DDD5E46B039F4EB38B6B309BAEED6014">
    <w:name w:val="DDD5E46B039F4EB38B6B309BAEED6014"/>
    <w:rsid w:val="00083CA9"/>
  </w:style>
  <w:style w:type="paragraph" w:customStyle="1" w:styleId="F6F430B5F1EB4E2A8DE960C3C5B3773F">
    <w:name w:val="F6F430B5F1EB4E2A8DE960C3C5B3773F"/>
    <w:rsid w:val="00083CA9"/>
  </w:style>
  <w:style w:type="paragraph" w:customStyle="1" w:styleId="1B7CEBBEB79245C6A0D401AC5F6761DE">
    <w:name w:val="1B7CEBBEB79245C6A0D401AC5F6761DE"/>
    <w:rsid w:val="00083CA9"/>
  </w:style>
  <w:style w:type="paragraph" w:customStyle="1" w:styleId="7DB8A81B75844F25BEA60FC285E50CD7">
    <w:name w:val="7DB8A81B75844F25BEA60FC285E50CD7"/>
    <w:rsid w:val="00083CA9"/>
  </w:style>
  <w:style w:type="paragraph" w:customStyle="1" w:styleId="265718F837774090BE5B9BA007814932">
    <w:name w:val="265718F837774090BE5B9BA007814932"/>
    <w:rsid w:val="00083CA9"/>
  </w:style>
  <w:style w:type="paragraph" w:customStyle="1" w:styleId="543F92B3A8D844C19812204F8A90AE63">
    <w:name w:val="543F92B3A8D844C19812204F8A90AE63"/>
    <w:rsid w:val="00083CA9"/>
  </w:style>
  <w:style w:type="paragraph" w:customStyle="1" w:styleId="F9CFEDBC650140438AAA4BA0B1BF5903">
    <w:name w:val="F9CFEDBC650140438AAA4BA0B1BF5903"/>
    <w:rsid w:val="00083CA9"/>
  </w:style>
  <w:style w:type="paragraph" w:customStyle="1" w:styleId="4F393EBD3F554E44A15974C3EBF39C3A">
    <w:name w:val="4F393EBD3F554E44A15974C3EBF39C3A"/>
    <w:rsid w:val="00083CA9"/>
  </w:style>
  <w:style w:type="paragraph" w:customStyle="1" w:styleId="0F3139D0DB2E42C6BA76A3B307D51367">
    <w:name w:val="0F3139D0DB2E42C6BA76A3B307D51367"/>
    <w:rsid w:val="00083CA9"/>
  </w:style>
  <w:style w:type="paragraph" w:customStyle="1" w:styleId="99EED12C6D9E4A9FB56138D0EFA48A3B">
    <w:name w:val="99EED12C6D9E4A9FB56138D0EFA48A3B"/>
    <w:rsid w:val="00083CA9"/>
  </w:style>
  <w:style w:type="paragraph" w:customStyle="1" w:styleId="9826C8849BEC4DB990AEBF6A91911C62">
    <w:name w:val="9826C8849BEC4DB990AEBF6A91911C62"/>
    <w:rsid w:val="00083CA9"/>
  </w:style>
  <w:style w:type="paragraph" w:customStyle="1" w:styleId="680653A77D0D476CAE7A2FA38B0D352E">
    <w:name w:val="680653A77D0D476CAE7A2FA38B0D352E"/>
    <w:rsid w:val="00083CA9"/>
  </w:style>
  <w:style w:type="paragraph" w:customStyle="1" w:styleId="3D26DAC67D6D443ABB0E79011C188F09">
    <w:name w:val="3D26DAC67D6D443ABB0E79011C188F09"/>
    <w:rsid w:val="00083CA9"/>
  </w:style>
  <w:style w:type="paragraph" w:customStyle="1" w:styleId="A8D6FDA013D64E25B55C5AB833B55F7B">
    <w:name w:val="A8D6FDA013D64E25B55C5AB833B55F7B"/>
    <w:rsid w:val="00083CA9"/>
  </w:style>
  <w:style w:type="paragraph" w:customStyle="1" w:styleId="1C154DBBD25D4A80AA3D26F0EA7125E1">
    <w:name w:val="1C154DBBD25D4A80AA3D26F0EA7125E1"/>
    <w:rsid w:val="000A351B"/>
  </w:style>
  <w:style w:type="paragraph" w:customStyle="1" w:styleId="7F2E01F0A4F149B9BC72130871BE9ABC">
    <w:name w:val="7F2E01F0A4F149B9BC72130871BE9ABC"/>
    <w:rsid w:val="000A351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7CCDC8CB7B455FBF00D4ED78011F6A">
    <w:name w:val="0C7CCDC8CB7B455FBF00D4ED78011F6A"/>
    <w:rsid w:val="00083CA9"/>
  </w:style>
  <w:style w:type="paragraph" w:customStyle="1" w:styleId="DDD5E46B039F4EB38B6B309BAEED6014">
    <w:name w:val="DDD5E46B039F4EB38B6B309BAEED6014"/>
    <w:rsid w:val="00083CA9"/>
  </w:style>
  <w:style w:type="paragraph" w:customStyle="1" w:styleId="F6F430B5F1EB4E2A8DE960C3C5B3773F">
    <w:name w:val="F6F430B5F1EB4E2A8DE960C3C5B3773F"/>
    <w:rsid w:val="00083CA9"/>
  </w:style>
  <w:style w:type="paragraph" w:customStyle="1" w:styleId="1B7CEBBEB79245C6A0D401AC5F6761DE">
    <w:name w:val="1B7CEBBEB79245C6A0D401AC5F6761DE"/>
    <w:rsid w:val="00083CA9"/>
  </w:style>
  <w:style w:type="paragraph" w:customStyle="1" w:styleId="7DB8A81B75844F25BEA60FC285E50CD7">
    <w:name w:val="7DB8A81B75844F25BEA60FC285E50CD7"/>
    <w:rsid w:val="00083CA9"/>
  </w:style>
  <w:style w:type="paragraph" w:customStyle="1" w:styleId="265718F837774090BE5B9BA007814932">
    <w:name w:val="265718F837774090BE5B9BA007814932"/>
    <w:rsid w:val="00083CA9"/>
  </w:style>
  <w:style w:type="paragraph" w:customStyle="1" w:styleId="543F92B3A8D844C19812204F8A90AE63">
    <w:name w:val="543F92B3A8D844C19812204F8A90AE63"/>
    <w:rsid w:val="00083CA9"/>
  </w:style>
  <w:style w:type="paragraph" w:customStyle="1" w:styleId="F9CFEDBC650140438AAA4BA0B1BF5903">
    <w:name w:val="F9CFEDBC650140438AAA4BA0B1BF5903"/>
    <w:rsid w:val="00083CA9"/>
  </w:style>
  <w:style w:type="paragraph" w:customStyle="1" w:styleId="4F393EBD3F554E44A15974C3EBF39C3A">
    <w:name w:val="4F393EBD3F554E44A15974C3EBF39C3A"/>
    <w:rsid w:val="00083CA9"/>
  </w:style>
  <w:style w:type="paragraph" w:customStyle="1" w:styleId="0F3139D0DB2E42C6BA76A3B307D51367">
    <w:name w:val="0F3139D0DB2E42C6BA76A3B307D51367"/>
    <w:rsid w:val="00083CA9"/>
  </w:style>
  <w:style w:type="paragraph" w:customStyle="1" w:styleId="99EED12C6D9E4A9FB56138D0EFA48A3B">
    <w:name w:val="99EED12C6D9E4A9FB56138D0EFA48A3B"/>
    <w:rsid w:val="00083CA9"/>
  </w:style>
  <w:style w:type="paragraph" w:customStyle="1" w:styleId="9826C8849BEC4DB990AEBF6A91911C62">
    <w:name w:val="9826C8849BEC4DB990AEBF6A91911C62"/>
    <w:rsid w:val="00083CA9"/>
  </w:style>
  <w:style w:type="paragraph" w:customStyle="1" w:styleId="680653A77D0D476CAE7A2FA38B0D352E">
    <w:name w:val="680653A77D0D476CAE7A2FA38B0D352E"/>
    <w:rsid w:val="00083CA9"/>
  </w:style>
  <w:style w:type="paragraph" w:customStyle="1" w:styleId="3D26DAC67D6D443ABB0E79011C188F09">
    <w:name w:val="3D26DAC67D6D443ABB0E79011C188F09"/>
    <w:rsid w:val="00083CA9"/>
  </w:style>
  <w:style w:type="paragraph" w:customStyle="1" w:styleId="A8D6FDA013D64E25B55C5AB833B55F7B">
    <w:name w:val="A8D6FDA013D64E25B55C5AB833B55F7B"/>
    <w:rsid w:val="00083CA9"/>
  </w:style>
  <w:style w:type="paragraph" w:customStyle="1" w:styleId="1C154DBBD25D4A80AA3D26F0EA7125E1">
    <w:name w:val="1C154DBBD25D4A80AA3D26F0EA7125E1"/>
    <w:rsid w:val="000A351B"/>
  </w:style>
  <w:style w:type="paragraph" w:customStyle="1" w:styleId="7F2E01F0A4F149B9BC72130871BE9ABC">
    <w:name w:val="7F2E01F0A4F149B9BC72130871BE9ABC"/>
    <w:rsid w:val="000A35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2017-10-10T00:00:00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192D07-3EB3-44A2-B6B0-AEF2459BF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5455</Words>
  <Characters>31097</Characters>
  <Application>Microsoft Office Word</Application>
  <DocSecurity>4</DocSecurity>
  <Lines>259</Lines>
  <Paragraphs>72</Paragraphs>
  <ScaleCrop>false</ScaleCrop>
  <HeadingPairs>
    <vt:vector size="2" baseType="variant">
      <vt:variant>
        <vt:lpstr>Title</vt:lpstr>
      </vt:variant>
      <vt:variant>
        <vt:i4>1</vt:i4>
      </vt:variant>
    </vt:vector>
  </HeadingPairs>
  <TitlesOfParts>
    <vt:vector size="1" baseType="lpstr">
      <vt:lpstr>Standards for the Approval of the Higher Education Institutions and Associated Health Care Provider Services and Educational Programmes Leading to Registration</vt:lpstr>
    </vt:vector>
  </TitlesOfParts>
  <Company>NMBI</Company>
  <LinksUpToDate>false</LinksUpToDate>
  <CharactersWithSpaces>36480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for the Approval of the Higher Education Institutions and Associated Health Care Provider Services and Educational Programmes Leading to Registration</dc:title>
  <dc:subject>Self- Assessment Audit Tool</dc:subject>
  <dc:creator>Revised</dc:creator>
  <cp:lastModifiedBy>Gillian Campbell</cp:lastModifiedBy>
  <cp:revision>2</cp:revision>
  <cp:lastPrinted>2017-10-13T13:50:00Z</cp:lastPrinted>
  <dcterms:created xsi:type="dcterms:W3CDTF">2017-12-19T10:12:00Z</dcterms:created>
  <dcterms:modified xsi:type="dcterms:W3CDTF">2017-12-19T10:12:00Z</dcterms:modified>
</cp:coreProperties>
</file>