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FD" w:rsidRPr="009224FD" w:rsidRDefault="009224FD" w:rsidP="009224FD">
      <w:pPr>
        <w:pStyle w:val="BodyText"/>
        <w:jc w:val="right"/>
        <w:rPr>
          <w:rFonts w:cstheme="minorHAnsi"/>
        </w:rPr>
      </w:pPr>
      <w:bookmarkStart w:id="0" w:name="_GoBack"/>
      <w:bookmarkEnd w:id="0"/>
      <w:r w:rsidRPr="009224FD">
        <w:rPr>
          <w:rFonts w:eastAsiaTheme="majorEastAsia" w:cstheme="minorHAnsi"/>
          <w:b/>
          <w:bCs/>
          <w:noProof/>
          <w:sz w:val="44"/>
          <w:szCs w:val="28"/>
          <w:lang w:val="en-IE" w:eastAsia="en-IE"/>
        </w:rPr>
        <w:drawing>
          <wp:inline distT="0" distB="0" distL="0" distR="0">
            <wp:extent cx="1354742" cy="1562100"/>
            <wp:effectExtent l="0" t="0" r="0" b="0"/>
            <wp:docPr id="2" name="Picture 1" descr="Macintosh HD:Users:Emma:Desktop:Screen Shot 2015-07-30 at 15.2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Desktop:Screen Shot 2015-07-30 at 15.25.2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396" cy="1562854"/>
                    </a:xfrm>
                    <a:prstGeom prst="rect">
                      <a:avLst/>
                    </a:prstGeom>
                    <a:noFill/>
                    <a:ln>
                      <a:noFill/>
                    </a:ln>
                  </pic:spPr>
                </pic:pic>
              </a:graphicData>
            </a:graphic>
          </wp:inline>
        </w:drawing>
      </w:r>
    </w:p>
    <w:p w:rsidR="009224FD" w:rsidRPr="009224FD" w:rsidRDefault="009224FD" w:rsidP="009224FD">
      <w:pPr>
        <w:pStyle w:val="Heading3"/>
        <w:rPr>
          <w:rFonts w:asciiTheme="minorHAnsi" w:hAnsiTheme="minorHAnsi" w:cstheme="minorHAnsi"/>
        </w:rPr>
      </w:pPr>
      <w:r w:rsidRPr="009224FD">
        <w:rPr>
          <w:rFonts w:asciiTheme="minorHAnsi" w:hAnsiTheme="minorHAnsi" w:cstheme="minorHAnsi"/>
        </w:rPr>
        <w:t>CONTACT INFORMATION</w:t>
      </w:r>
    </w:p>
    <w:tbl>
      <w:tblPr>
        <w:tblStyle w:val="ANMAC2"/>
        <w:tblW w:w="4998" w:type="pct"/>
        <w:tblLayout w:type="fixed"/>
        <w:tblLook w:val="04A0" w:firstRow="1" w:lastRow="0" w:firstColumn="1" w:lastColumn="0" w:noHBand="0" w:noVBand="1"/>
      </w:tblPr>
      <w:tblGrid>
        <w:gridCol w:w="3012"/>
        <w:gridCol w:w="6020"/>
      </w:tblGrid>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EDUCATION PROVIDER</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ADDRESS </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HEAD OF DEPARTMENT </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PHONE NUMBER</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EMAIL </w:t>
            </w:r>
          </w:p>
        </w:tc>
        <w:tc>
          <w:tcPr>
            <w:tcW w:w="6020" w:type="dxa"/>
            <w:shd w:val="clear" w:color="auto" w:fill="DBE5F1" w:themeFill="accent1" w:themeFillTint="33"/>
          </w:tcPr>
          <w:p w:rsidR="009224FD" w:rsidRPr="009224FD" w:rsidRDefault="009224FD" w:rsidP="009224FD">
            <w:pPr>
              <w:pStyle w:val="Table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PROGRAMME CONTACT PERSON </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PROGRAMME LEADER</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224FD" w:rsidRPr="009224FD" w:rsidRDefault="009224FD" w:rsidP="009224FD">
      <w:pPr>
        <w:pStyle w:val="Heading3"/>
        <w:rPr>
          <w:rFonts w:asciiTheme="minorHAnsi" w:hAnsiTheme="minorHAnsi" w:cstheme="minorHAnsi"/>
        </w:rPr>
      </w:pPr>
      <w:r w:rsidRPr="009224FD">
        <w:rPr>
          <w:rFonts w:asciiTheme="minorHAnsi" w:hAnsiTheme="minorHAnsi" w:cstheme="minorHAnsi"/>
        </w:rPr>
        <w:t>PROGRAMME INFORMATION</w:t>
      </w:r>
    </w:p>
    <w:tbl>
      <w:tblPr>
        <w:tblStyle w:val="ANMAC2"/>
        <w:tblW w:w="4998" w:type="pct"/>
        <w:tblLayout w:type="fixed"/>
        <w:tblLook w:val="04A0" w:firstRow="1" w:lastRow="0" w:firstColumn="1" w:lastColumn="0" w:noHBand="0" w:noVBand="1"/>
      </w:tblPr>
      <w:tblGrid>
        <w:gridCol w:w="3012"/>
        <w:gridCol w:w="6020"/>
      </w:tblGrid>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PROGRAMME TITLE</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Level as per NFQ</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Award type</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ECTS (effort hours)</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E24B6" w:rsidRPr="009224FD" w:rsidTr="005D118E">
        <w:tc>
          <w:tcPr>
            <w:cnfStyle w:val="001000000000" w:firstRow="0" w:lastRow="0" w:firstColumn="1" w:lastColumn="0" w:oddVBand="0" w:evenVBand="0" w:oddHBand="0" w:evenHBand="0" w:firstRowFirstColumn="0" w:firstRowLastColumn="0" w:lastRowFirstColumn="0" w:lastRowLastColumn="0"/>
            <w:tcW w:w="3012" w:type="dxa"/>
          </w:tcPr>
          <w:p w:rsidR="00DE24B6" w:rsidRPr="00DE24B6" w:rsidRDefault="00DE24B6" w:rsidP="009224FD">
            <w:pPr>
              <w:pStyle w:val="TableSubheading"/>
              <w:keepNext w:val="0"/>
              <w:keepLines w:val="0"/>
              <w:jc w:val="left"/>
              <w:rPr>
                <w:rFonts w:asciiTheme="minorHAnsi" w:hAnsiTheme="minorHAnsi" w:cstheme="minorHAnsi"/>
              </w:rPr>
            </w:pPr>
            <w:r>
              <w:rPr>
                <w:rFonts w:asciiTheme="minorHAnsi" w:hAnsiTheme="minorHAnsi" w:cstheme="minorHAnsi"/>
              </w:rPr>
              <w:t>New Course submission</w:t>
            </w:r>
            <w:r w:rsidR="00156E37">
              <w:rPr>
                <w:rFonts w:asciiTheme="minorHAnsi" w:hAnsiTheme="minorHAnsi" w:cstheme="minorHAnsi"/>
              </w:rPr>
              <w:t xml:space="preserve"> (Yes/No)</w:t>
            </w:r>
          </w:p>
        </w:tc>
        <w:tc>
          <w:tcPr>
            <w:tcW w:w="6020" w:type="dxa"/>
            <w:shd w:val="clear" w:color="auto" w:fill="DBE5F1" w:themeFill="accent1" w:themeFillTint="33"/>
          </w:tcPr>
          <w:p w:rsidR="00DE24B6" w:rsidRPr="009224FD" w:rsidRDefault="00DE24B6"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E24B6" w:rsidRPr="009224FD" w:rsidTr="005D118E">
        <w:tc>
          <w:tcPr>
            <w:cnfStyle w:val="001000000000" w:firstRow="0" w:lastRow="0" w:firstColumn="1" w:lastColumn="0" w:oddVBand="0" w:evenVBand="0" w:oddHBand="0" w:evenHBand="0" w:firstRowFirstColumn="0" w:firstRowLastColumn="0" w:lastRowFirstColumn="0" w:lastRowLastColumn="0"/>
            <w:tcW w:w="3012" w:type="dxa"/>
          </w:tcPr>
          <w:p w:rsidR="00DE24B6" w:rsidRPr="00DE24B6" w:rsidRDefault="00DE24B6" w:rsidP="009224FD">
            <w:pPr>
              <w:pStyle w:val="TableSubheading"/>
              <w:keepNext w:val="0"/>
              <w:keepLines w:val="0"/>
              <w:jc w:val="left"/>
              <w:rPr>
                <w:rFonts w:asciiTheme="minorHAnsi" w:hAnsiTheme="minorHAnsi" w:cstheme="minorHAnsi"/>
              </w:rPr>
            </w:pPr>
            <w:r>
              <w:rPr>
                <w:rFonts w:asciiTheme="minorHAnsi" w:hAnsiTheme="minorHAnsi" w:cstheme="minorHAnsi"/>
              </w:rPr>
              <w:t>Re – approval submission</w:t>
            </w:r>
            <w:r w:rsidR="00156E37">
              <w:rPr>
                <w:rFonts w:asciiTheme="minorHAnsi" w:hAnsiTheme="minorHAnsi" w:cstheme="minorHAnsi"/>
              </w:rPr>
              <w:t xml:space="preserve"> (Yes/No)</w:t>
            </w:r>
          </w:p>
        </w:tc>
        <w:tc>
          <w:tcPr>
            <w:tcW w:w="6020" w:type="dxa"/>
            <w:shd w:val="clear" w:color="auto" w:fill="DBE5F1" w:themeFill="accent1" w:themeFillTint="33"/>
          </w:tcPr>
          <w:p w:rsidR="00DE24B6" w:rsidRPr="009224FD" w:rsidRDefault="00DE24B6"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E24B6" w:rsidRPr="009224FD" w:rsidTr="005D118E">
        <w:tc>
          <w:tcPr>
            <w:cnfStyle w:val="001000000000" w:firstRow="0" w:lastRow="0" w:firstColumn="1" w:lastColumn="0" w:oddVBand="0" w:evenVBand="0" w:oddHBand="0" w:evenHBand="0" w:firstRowFirstColumn="0" w:firstRowLastColumn="0" w:lastRowFirstColumn="0" w:lastRowLastColumn="0"/>
            <w:tcW w:w="3012" w:type="dxa"/>
          </w:tcPr>
          <w:p w:rsidR="00DE24B6" w:rsidRPr="00DE24B6" w:rsidRDefault="00156E37" w:rsidP="00156E37">
            <w:pPr>
              <w:pStyle w:val="TableSubheading"/>
              <w:keepNext w:val="0"/>
              <w:keepLines w:val="0"/>
              <w:jc w:val="left"/>
              <w:rPr>
                <w:rFonts w:asciiTheme="minorHAnsi" w:hAnsiTheme="minorHAnsi" w:cstheme="minorHAnsi"/>
              </w:rPr>
            </w:pPr>
            <w:r>
              <w:rPr>
                <w:rFonts w:asciiTheme="minorHAnsi" w:hAnsiTheme="minorHAnsi" w:cstheme="minorHAnsi"/>
              </w:rPr>
              <w:t>If re-submission please l</w:t>
            </w:r>
            <w:r w:rsidR="00DE24B6">
              <w:rPr>
                <w:rFonts w:asciiTheme="minorHAnsi" w:hAnsiTheme="minorHAnsi" w:cstheme="minorHAnsi"/>
              </w:rPr>
              <w:t xml:space="preserve">ist changes </w:t>
            </w:r>
          </w:p>
        </w:tc>
        <w:tc>
          <w:tcPr>
            <w:tcW w:w="6020" w:type="dxa"/>
            <w:shd w:val="clear" w:color="auto" w:fill="DBE5F1" w:themeFill="accent1" w:themeFillTint="33"/>
          </w:tcPr>
          <w:p w:rsidR="00DE24B6" w:rsidRPr="009224FD" w:rsidRDefault="00DE24B6"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E24B6" w:rsidRPr="009224FD" w:rsidTr="005D118E">
        <w:tc>
          <w:tcPr>
            <w:cnfStyle w:val="001000000000" w:firstRow="0" w:lastRow="0" w:firstColumn="1" w:lastColumn="0" w:oddVBand="0" w:evenVBand="0" w:oddHBand="0" w:evenHBand="0" w:firstRowFirstColumn="0" w:firstRowLastColumn="0" w:lastRowFirstColumn="0" w:lastRowLastColumn="0"/>
            <w:tcW w:w="3012" w:type="dxa"/>
          </w:tcPr>
          <w:p w:rsidR="00DE24B6" w:rsidRPr="00DE24B6" w:rsidRDefault="00DE24B6" w:rsidP="00DE24B6">
            <w:pPr>
              <w:pStyle w:val="TableSubheading"/>
              <w:keepNext w:val="0"/>
              <w:keepLines w:val="0"/>
              <w:jc w:val="left"/>
              <w:rPr>
                <w:rFonts w:asciiTheme="minorHAnsi" w:hAnsiTheme="minorHAnsi" w:cstheme="minorHAnsi"/>
              </w:rPr>
            </w:pPr>
            <w:r>
              <w:rPr>
                <w:rFonts w:asciiTheme="minorHAnsi" w:hAnsiTheme="minorHAnsi" w:cstheme="minorHAnsi"/>
              </w:rPr>
              <w:t>Course approved by Academic Council?</w:t>
            </w:r>
          </w:p>
        </w:tc>
        <w:tc>
          <w:tcPr>
            <w:tcW w:w="6020" w:type="dxa"/>
            <w:shd w:val="clear" w:color="auto" w:fill="DBE5F1" w:themeFill="accent1" w:themeFillTint="33"/>
          </w:tcPr>
          <w:p w:rsidR="00DE24B6" w:rsidRPr="009224FD" w:rsidRDefault="00DE24B6"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A0789A" w:rsidRDefault="009224FD" w:rsidP="000237E8">
            <w:pPr>
              <w:pStyle w:val="TableSubheading"/>
              <w:keepNext w:val="0"/>
              <w:keepLines w:val="0"/>
              <w:jc w:val="left"/>
              <w:rPr>
                <w:rFonts w:asciiTheme="minorHAnsi" w:hAnsiTheme="minorHAnsi" w:cstheme="minorHAnsi"/>
                <w:color w:val="auto"/>
              </w:rPr>
            </w:pPr>
            <w:r w:rsidRPr="00A0789A">
              <w:rPr>
                <w:rFonts w:asciiTheme="minorHAnsi" w:hAnsiTheme="minorHAnsi" w:cstheme="minorHAnsi"/>
                <w:color w:val="auto"/>
              </w:rPr>
              <w:t xml:space="preserve">REGISTRATION </w:t>
            </w:r>
            <w:r w:rsidR="000237E8" w:rsidRPr="00A0789A">
              <w:rPr>
                <w:rFonts w:asciiTheme="minorHAnsi" w:hAnsiTheme="minorHAnsi" w:cstheme="minorHAnsi"/>
                <w:color w:val="auto"/>
              </w:rPr>
              <w:t>needed</w:t>
            </w:r>
            <w:r w:rsidRPr="00A0789A">
              <w:rPr>
                <w:rFonts w:asciiTheme="minorHAnsi" w:hAnsiTheme="minorHAnsi" w:cstheme="minorHAnsi"/>
                <w:color w:val="auto"/>
              </w:rPr>
              <w:t xml:space="preserve"> (if applicable) for example: </w:t>
            </w:r>
            <w:r w:rsidR="000237E8" w:rsidRPr="00A0789A">
              <w:rPr>
                <w:rFonts w:asciiTheme="minorHAnsi" w:hAnsiTheme="minorHAnsi" w:cstheme="minorHAnsi"/>
                <w:color w:val="auto"/>
              </w:rPr>
              <w:t>Active registration with NMBI, RANP/RAMP, RCN, RGN, RM, RNID, RNP, RNT, RPHN, RPN</w:t>
            </w:r>
            <w:r w:rsidRPr="00A0789A">
              <w:rPr>
                <w:rFonts w:asciiTheme="minorHAnsi" w:hAnsiTheme="minorHAnsi" w:cstheme="minorHAnsi"/>
                <w:color w:val="auto"/>
              </w:rPr>
              <w:t xml:space="preserve"> </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237E8"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0237E8" w:rsidRPr="00A0789A" w:rsidRDefault="000237E8" w:rsidP="000237E8">
            <w:pPr>
              <w:pStyle w:val="TableSubheading"/>
              <w:keepNext w:val="0"/>
              <w:keepLines w:val="0"/>
              <w:jc w:val="left"/>
              <w:rPr>
                <w:rFonts w:asciiTheme="minorHAnsi" w:hAnsiTheme="minorHAnsi" w:cstheme="minorHAnsi"/>
                <w:color w:val="auto"/>
              </w:rPr>
            </w:pPr>
            <w:r w:rsidRPr="00A0789A">
              <w:rPr>
                <w:rFonts w:asciiTheme="minorHAnsi" w:hAnsiTheme="minorHAnsi" w:cstheme="minorHAnsi"/>
                <w:color w:val="auto"/>
              </w:rPr>
              <w:t xml:space="preserve">Leads to registration? </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RANP/RAMP</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RCN</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RGN</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RGN/RCN (integrated)</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RM</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lastRenderedPageBreak/>
              <w:t>RNID</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RNP</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RNT</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RPHN</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RPN</w:t>
            </w:r>
          </w:p>
          <w:p w:rsidR="000237E8" w:rsidRPr="00A0789A" w:rsidRDefault="000237E8" w:rsidP="000237E8">
            <w:pPr>
              <w:pStyle w:val="TableText"/>
              <w:rPr>
                <w:rFonts w:asciiTheme="minorHAnsi" w:hAnsiTheme="minorHAnsi" w:cstheme="minorHAnsi"/>
                <w:color w:val="auto"/>
              </w:rPr>
            </w:pPr>
            <w:r w:rsidRPr="00A0789A">
              <w:rPr>
                <w:rFonts w:asciiTheme="minorHAnsi" w:hAnsiTheme="minorHAnsi" w:cstheme="minorHAnsi"/>
                <w:color w:val="auto"/>
              </w:rPr>
              <w:t>N/A</w:t>
            </w:r>
          </w:p>
          <w:p w:rsidR="000237E8" w:rsidRPr="00A0789A" w:rsidRDefault="000237E8" w:rsidP="000237E8">
            <w:pPr>
              <w:pStyle w:val="TableText"/>
              <w:rPr>
                <w:rFonts w:asciiTheme="minorHAnsi" w:hAnsiTheme="minorHAnsi" w:cstheme="minorHAnsi"/>
                <w:color w:val="auto"/>
              </w:rPr>
            </w:pPr>
          </w:p>
        </w:tc>
        <w:tc>
          <w:tcPr>
            <w:tcW w:w="6020" w:type="dxa"/>
            <w:shd w:val="clear" w:color="auto" w:fill="DBE5F1" w:themeFill="accent1" w:themeFillTint="33"/>
          </w:tcPr>
          <w:p w:rsidR="000237E8" w:rsidRPr="009224FD" w:rsidRDefault="000237E8"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lastRenderedPageBreak/>
              <w:t>PROGRAMME LENGTH</w:t>
            </w:r>
          </w:p>
          <w:p w:rsidR="009224FD" w:rsidRPr="009224FD" w:rsidRDefault="009224FD" w:rsidP="009224FD">
            <w:pPr>
              <w:pStyle w:val="TableText"/>
              <w:rPr>
                <w:rFonts w:asciiTheme="minorHAnsi" w:hAnsiTheme="minorHAnsi" w:cstheme="minorHAnsi"/>
                <w:b/>
              </w:rPr>
            </w:pPr>
            <w:r w:rsidRPr="009224FD">
              <w:rPr>
                <w:rFonts w:asciiTheme="minorHAnsi" w:hAnsiTheme="minorHAnsi" w:cstheme="minorHAnsi"/>
                <w:b/>
              </w:rPr>
              <w:t xml:space="preserve">Part time, Full time </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MODES OF DELIVERY</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E24B6" w:rsidRPr="009224FD" w:rsidTr="005D118E">
        <w:tc>
          <w:tcPr>
            <w:cnfStyle w:val="001000000000" w:firstRow="0" w:lastRow="0" w:firstColumn="1" w:lastColumn="0" w:oddVBand="0" w:evenVBand="0" w:oddHBand="0" w:evenHBand="0" w:firstRowFirstColumn="0" w:firstRowLastColumn="0" w:lastRowFirstColumn="0" w:lastRowLastColumn="0"/>
            <w:tcW w:w="3012" w:type="dxa"/>
          </w:tcPr>
          <w:p w:rsidR="00DE24B6" w:rsidRDefault="00DE24B6" w:rsidP="009224FD">
            <w:pPr>
              <w:pStyle w:val="TableSubheading"/>
              <w:keepNext w:val="0"/>
              <w:keepLines w:val="0"/>
              <w:jc w:val="left"/>
              <w:rPr>
                <w:rFonts w:asciiTheme="minorHAnsi" w:hAnsiTheme="minorHAnsi" w:cstheme="minorHAnsi"/>
              </w:rPr>
            </w:pPr>
            <w:r>
              <w:rPr>
                <w:rFonts w:asciiTheme="minorHAnsi" w:hAnsiTheme="minorHAnsi" w:cstheme="minorHAnsi"/>
              </w:rPr>
              <w:t>Modules</w:t>
            </w:r>
          </w:p>
          <w:p w:rsidR="00DE24B6" w:rsidRDefault="00DE24B6" w:rsidP="00DE24B6">
            <w:pPr>
              <w:pStyle w:val="TableText"/>
              <w:rPr>
                <w:rFonts w:asciiTheme="minorHAnsi" w:hAnsiTheme="minorHAnsi" w:cstheme="minorHAnsi"/>
              </w:rPr>
            </w:pPr>
            <w:r>
              <w:rPr>
                <w:rFonts w:asciiTheme="minorHAnsi" w:hAnsiTheme="minorHAnsi" w:cstheme="minorHAnsi"/>
              </w:rPr>
              <w:t>Number of Core Modules</w:t>
            </w:r>
          </w:p>
          <w:p w:rsidR="00DE24B6" w:rsidRPr="00DE24B6" w:rsidRDefault="00DE24B6" w:rsidP="00DE24B6">
            <w:pPr>
              <w:pStyle w:val="TableText"/>
              <w:rPr>
                <w:rFonts w:asciiTheme="minorHAnsi" w:hAnsiTheme="minorHAnsi" w:cstheme="minorHAnsi"/>
              </w:rPr>
            </w:pPr>
            <w:r>
              <w:rPr>
                <w:rFonts w:asciiTheme="minorHAnsi" w:hAnsiTheme="minorHAnsi" w:cstheme="minorHAnsi"/>
              </w:rPr>
              <w:t>Number of Optional Modules</w:t>
            </w:r>
          </w:p>
        </w:tc>
        <w:tc>
          <w:tcPr>
            <w:tcW w:w="6020" w:type="dxa"/>
            <w:shd w:val="clear" w:color="auto" w:fill="DBE5F1" w:themeFill="accent1" w:themeFillTint="33"/>
          </w:tcPr>
          <w:p w:rsidR="00DE24B6" w:rsidRPr="009224FD" w:rsidRDefault="00DE24B6"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HAS PROGRAMME A CLINICAL COMPONENT? YES/NO</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FULL EDUCATION REVIEW DATE BY EDUCATION OFFICER</w:t>
            </w:r>
          </w:p>
          <w:p w:rsidR="009224FD" w:rsidRPr="009224FD" w:rsidRDefault="009224FD" w:rsidP="009224FD">
            <w:pPr>
              <w:pStyle w:val="TableText"/>
              <w:rPr>
                <w:rFonts w:asciiTheme="minorHAnsi" w:hAnsiTheme="minorHAnsi" w:cstheme="minorHAnsi"/>
              </w:rPr>
            </w:pP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NMBI CORRESPONDENCE with EDUCATION PROVIDER</w:t>
            </w:r>
          </w:p>
        </w:tc>
        <w:tc>
          <w:tcPr>
            <w:tcW w:w="6020" w:type="dxa"/>
            <w:shd w:val="clear" w:color="auto" w:fill="DBE5F1" w:themeFill="accent1" w:themeFillTint="33"/>
          </w:tcPr>
          <w:p w:rsidR="009224FD" w:rsidRPr="009224FD" w:rsidRDefault="009224FD" w:rsidP="009224FD">
            <w:pPr>
              <w:pStyle w:val="Table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FURTHER EVIDENCE RECEIVED </w:t>
            </w:r>
          </w:p>
          <w:p w:rsidR="009224FD" w:rsidRPr="009224FD" w:rsidRDefault="009224FD" w:rsidP="009224FD">
            <w:pPr>
              <w:pStyle w:val="TableText"/>
              <w:rPr>
                <w:rFonts w:asciiTheme="minorHAnsi" w:hAnsiTheme="minorHAnsi" w:cstheme="minorHAnsi"/>
              </w:rPr>
            </w:pP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DATE OF REVIEW BY CHIEF EDUCATION OFFICER</w:t>
            </w:r>
          </w:p>
          <w:p w:rsidR="009224FD" w:rsidRPr="009224FD" w:rsidRDefault="009224FD" w:rsidP="009224FD">
            <w:pPr>
              <w:pStyle w:val="TableText"/>
              <w:rPr>
                <w:rFonts w:asciiTheme="minorHAnsi" w:hAnsiTheme="minorHAnsi" w:cstheme="minorHAnsi"/>
              </w:rPr>
            </w:pP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DATE FORWARDED TO VALIDATION &amp; STANDARDS</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24FD" w:rsidRPr="009224FD" w:rsidTr="00A0789A">
        <w:trPr>
          <w:trHeight w:val="1317"/>
        </w:trPr>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OUTCOME from Validation and Standards</w:t>
            </w:r>
          </w:p>
        </w:tc>
        <w:tc>
          <w:tcPr>
            <w:tcW w:w="6020" w:type="dxa"/>
            <w:shd w:val="clear" w:color="auto" w:fill="DBE5F1" w:themeFill="accent1" w:themeFillTint="3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0789A" w:rsidRPr="009224FD" w:rsidTr="00A0789A">
        <w:trPr>
          <w:trHeight w:val="435"/>
        </w:trPr>
        <w:tc>
          <w:tcPr>
            <w:cnfStyle w:val="001000000000" w:firstRow="0" w:lastRow="0" w:firstColumn="1" w:lastColumn="0" w:oddVBand="0" w:evenVBand="0" w:oddHBand="0" w:evenHBand="0" w:firstRowFirstColumn="0" w:firstRowLastColumn="0" w:lastRowFirstColumn="0" w:lastRowLastColumn="0"/>
            <w:tcW w:w="3012" w:type="dxa"/>
          </w:tcPr>
          <w:p w:rsidR="00A0789A" w:rsidRPr="009224FD" w:rsidRDefault="00A0789A" w:rsidP="00EB6CCC">
            <w:pPr>
              <w:pStyle w:val="TableSubheading"/>
              <w:keepNext w:val="0"/>
              <w:keepLines w:val="0"/>
              <w:jc w:val="left"/>
              <w:rPr>
                <w:rFonts w:cstheme="minorHAnsi"/>
              </w:rPr>
            </w:pPr>
            <w:r w:rsidRPr="009224FD">
              <w:rPr>
                <w:rFonts w:asciiTheme="minorHAnsi" w:hAnsiTheme="minorHAnsi" w:cstheme="minorHAnsi"/>
              </w:rPr>
              <w:t xml:space="preserve">DATE FORWARDED TO </w:t>
            </w:r>
            <w:r>
              <w:rPr>
                <w:rFonts w:asciiTheme="minorHAnsi" w:hAnsiTheme="minorHAnsi" w:cstheme="minorHAnsi"/>
              </w:rPr>
              <w:t xml:space="preserve">Education and Training Committee </w:t>
            </w:r>
          </w:p>
        </w:tc>
        <w:tc>
          <w:tcPr>
            <w:tcW w:w="6020" w:type="dxa"/>
            <w:shd w:val="clear" w:color="auto" w:fill="DBE5F1" w:themeFill="accent1" w:themeFillTint="33"/>
          </w:tcPr>
          <w:p w:rsidR="00A0789A" w:rsidRPr="009224FD" w:rsidRDefault="00A0789A"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rPr>
            </w:pPr>
          </w:p>
        </w:tc>
      </w:tr>
      <w:tr w:rsidR="00A0789A"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A0789A" w:rsidRPr="009224FD" w:rsidRDefault="00A0789A" w:rsidP="00EB6CCC">
            <w:pPr>
              <w:pStyle w:val="TableSubheading"/>
              <w:keepNext w:val="0"/>
              <w:keepLines w:val="0"/>
              <w:jc w:val="left"/>
              <w:rPr>
                <w:rFonts w:cstheme="minorHAnsi"/>
              </w:rPr>
            </w:pPr>
            <w:r w:rsidRPr="009224FD">
              <w:rPr>
                <w:rFonts w:asciiTheme="minorHAnsi" w:hAnsiTheme="minorHAnsi" w:cstheme="minorHAnsi"/>
              </w:rPr>
              <w:t xml:space="preserve">OUTCOME from </w:t>
            </w:r>
            <w:r>
              <w:rPr>
                <w:rFonts w:asciiTheme="minorHAnsi" w:hAnsiTheme="minorHAnsi" w:cstheme="minorHAnsi"/>
              </w:rPr>
              <w:t xml:space="preserve">Education and Training Committee </w:t>
            </w:r>
          </w:p>
        </w:tc>
        <w:tc>
          <w:tcPr>
            <w:tcW w:w="6020" w:type="dxa"/>
            <w:shd w:val="clear" w:color="auto" w:fill="DBE5F1" w:themeFill="accent1" w:themeFillTint="33"/>
          </w:tcPr>
          <w:p w:rsidR="00A0789A" w:rsidRPr="009224FD" w:rsidRDefault="00A0789A" w:rsidP="009224FD">
            <w:pPr>
              <w:pStyle w:val="TableText"/>
              <w:cnfStyle w:val="000000000000" w:firstRow="0" w:lastRow="0" w:firstColumn="0" w:lastColumn="0" w:oddVBand="0" w:evenVBand="0" w:oddHBand="0" w:evenHBand="0" w:firstRowFirstColumn="0" w:firstRowLastColumn="0" w:lastRowFirstColumn="0" w:lastRowLastColumn="0"/>
              <w:rPr>
                <w:rFonts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EB6CCC">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Response to conditions </w:t>
            </w:r>
          </w:p>
        </w:tc>
        <w:tc>
          <w:tcPr>
            <w:tcW w:w="6020" w:type="dxa"/>
            <w:shd w:val="clear" w:color="auto" w:fill="DBE5F1" w:themeFill="accent1" w:themeFillTint="33"/>
          </w:tcPr>
          <w:p w:rsid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0789A" w:rsidRDefault="00A0789A"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0789A" w:rsidRPr="009224FD" w:rsidRDefault="00A0789A"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224FD" w:rsidRPr="009224FD" w:rsidRDefault="009224FD" w:rsidP="009224FD">
      <w:pPr>
        <w:pStyle w:val="BodyText"/>
        <w:rPr>
          <w:rFonts w:cstheme="minorHAnsi"/>
        </w:rPr>
      </w:pPr>
    </w:p>
    <w:tbl>
      <w:tblPr>
        <w:tblStyle w:val="TableGrid"/>
        <w:tblW w:w="0" w:type="auto"/>
        <w:tblLook w:val="04A0" w:firstRow="1" w:lastRow="0" w:firstColumn="1" w:lastColumn="0" w:noHBand="0" w:noVBand="1"/>
      </w:tblPr>
      <w:tblGrid>
        <w:gridCol w:w="4513"/>
        <w:gridCol w:w="4513"/>
      </w:tblGrid>
      <w:tr w:rsidR="00EE0EF3" w:rsidTr="00A0789A">
        <w:tc>
          <w:tcPr>
            <w:tcW w:w="4513" w:type="dxa"/>
          </w:tcPr>
          <w:p w:rsidR="00EE0EF3" w:rsidRPr="00EE0EF3" w:rsidRDefault="00EE0EF3" w:rsidP="009224FD">
            <w:pPr>
              <w:pStyle w:val="BodyText"/>
              <w:rPr>
                <w:rFonts w:cstheme="minorHAnsi"/>
                <w:b/>
              </w:rPr>
            </w:pPr>
          </w:p>
        </w:tc>
        <w:tc>
          <w:tcPr>
            <w:tcW w:w="4513" w:type="dxa"/>
          </w:tcPr>
          <w:p w:rsidR="00EE0EF3" w:rsidRPr="00EE0EF3" w:rsidRDefault="00EE0EF3" w:rsidP="009224FD">
            <w:pPr>
              <w:pStyle w:val="BodyText"/>
              <w:rPr>
                <w:rFonts w:cstheme="minorHAnsi"/>
                <w:b/>
              </w:rPr>
            </w:pPr>
          </w:p>
        </w:tc>
      </w:tr>
      <w:tr w:rsidR="00EE0EF3" w:rsidTr="00A0789A">
        <w:tc>
          <w:tcPr>
            <w:tcW w:w="4513" w:type="dxa"/>
          </w:tcPr>
          <w:p w:rsidR="00EE0EF3" w:rsidRDefault="00EE0EF3" w:rsidP="009224FD">
            <w:pPr>
              <w:pStyle w:val="BodyText"/>
              <w:rPr>
                <w:rFonts w:cstheme="minorHAnsi"/>
              </w:rPr>
            </w:pPr>
          </w:p>
        </w:tc>
        <w:tc>
          <w:tcPr>
            <w:tcW w:w="4513" w:type="dxa"/>
          </w:tcPr>
          <w:p w:rsidR="00EE0EF3" w:rsidRDefault="00EE0EF3" w:rsidP="009224FD">
            <w:pPr>
              <w:pStyle w:val="BodyText"/>
              <w:rPr>
                <w:rFonts w:cstheme="minorHAnsi"/>
              </w:rPr>
            </w:pPr>
          </w:p>
        </w:tc>
      </w:tr>
    </w:tbl>
    <w:tbl>
      <w:tblPr>
        <w:tblStyle w:val="ANMAC2"/>
        <w:tblW w:w="9067" w:type="dxa"/>
        <w:tblInd w:w="10" w:type="dxa"/>
        <w:tblLook w:val="04A0" w:firstRow="1" w:lastRow="0" w:firstColumn="1" w:lastColumn="0" w:noHBand="0" w:noVBand="1"/>
      </w:tblPr>
      <w:tblGrid>
        <w:gridCol w:w="2972"/>
        <w:gridCol w:w="6095"/>
      </w:tblGrid>
      <w:tr w:rsidR="00EE0EF3" w:rsidRPr="009224FD" w:rsidTr="00EE0EF3">
        <w:tc>
          <w:tcPr>
            <w:cnfStyle w:val="001000000000" w:firstRow="0" w:lastRow="0" w:firstColumn="1" w:lastColumn="0" w:oddVBand="0" w:evenVBand="0" w:oddHBand="0" w:evenHBand="0" w:firstRowFirstColumn="0" w:firstRowLastColumn="0" w:lastRowFirstColumn="0" w:lastRowLastColumn="0"/>
            <w:tcW w:w="2972" w:type="dxa"/>
          </w:tcPr>
          <w:p w:rsidR="00EE0EF3" w:rsidRPr="00743D67" w:rsidRDefault="00EE0EF3" w:rsidP="00D86BE9">
            <w:pPr>
              <w:pStyle w:val="TableText"/>
              <w:rPr>
                <w:rFonts w:asciiTheme="minorHAnsi" w:hAnsiTheme="minorHAnsi" w:cstheme="minorHAnsi"/>
                <w:b/>
                <w:color w:val="1F497D" w:themeColor="text2"/>
              </w:rPr>
            </w:pPr>
            <w:r w:rsidRPr="00743D67">
              <w:rPr>
                <w:rFonts w:asciiTheme="minorHAnsi" w:hAnsiTheme="minorHAnsi" w:cstheme="minorHAnsi"/>
                <w:b/>
                <w:color w:val="1F497D" w:themeColor="text2"/>
              </w:rPr>
              <w:lastRenderedPageBreak/>
              <w:t xml:space="preserve">Website link to course if applicable (HEI link) </w:t>
            </w:r>
          </w:p>
        </w:tc>
        <w:tc>
          <w:tcPr>
            <w:tcW w:w="6095" w:type="dxa"/>
            <w:shd w:val="clear" w:color="auto" w:fill="DBE5F1" w:themeFill="accent1" w:themeFillTint="33"/>
          </w:tcPr>
          <w:p w:rsidR="00EE0EF3" w:rsidRPr="00EE0EF3" w:rsidRDefault="00EE0EF3" w:rsidP="00D86BE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p>
          <w:p w:rsidR="00EE0EF3" w:rsidRPr="00EE0EF3" w:rsidRDefault="00EE0EF3" w:rsidP="00D86BE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p>
        </w:tc>
      </w:tr>
      <w:tr w:rsidR="00C948F6" w:rsidRPr="009224FD" w:rsidTr="00EE0EF3">
        <w:tc>
          <w:tcPr>
            <w:cnfStyle w:val="001000000000" w:firstRow="0" w:lastRow="0" w:firstColumn="1" w:lastColumn="0" w:oddVBand="0" w:evenVBand="0" w:oddHBand="0" w:evenHBand="0" w:firstRowFirstColumn="0" w:firstRowLastColumn="0" w:lastRowFirstColumn="0" w:lastRowLastColumn="0"/>
            <w:tcW w:w="2972" w:type="dxa"/>
          </w:tcPr>
          <w:p w:rsidR="00C948F6" w:rsidRPr="00743D67" w:rsidRDefault="00C948F6" w:rsidP="00D86BE9">
            <w:pPr>
              <w:pStyle w:val="TableText"/>
              <w:rPr>
                <w:rFonts w:asciiTheme="minorHAnsi" w:hAnsiTheme="minorHAnsi" w:cstheme="minorHAnsi"/>
                <w:b/>
                <w:color w:val="1F497D" w:themeColor="text2"/>
              </w:rPr>
            </w:pPr>
            <w:r w:rsidRPr="00743D67">
              <w:rPr>
                <w:rFonts w:asciiTheme="minorHAnsi" w:hAnsiTheme="minorHAnsi" w:cstheme="minorHAnsi"/>
                <w:b/>
                <w:color w:val="1F497D" w:themeColor="text2"/>
              </w:rPr>
              <w:t>Course subject/s (from list of 106 for website)</w:t>
            </w:r>
          </w:p>
        </w:tc>
        <w:tc>
          <w:tcPr>
            <w:tcW w:w="6095" w:type="dxa"/>
            <w:shd w:val="clear" w:color="auto" w:fill="DBE5F1" w:themeFill="accent1" w:themeFillTint="33"/>
          </w:tcPr>
          <w:p w:rsidR="00C948F6" w:rsidRPr="00EE0EF3" w:rsidRDefault="00C948F6" w:rsidP="00D86BE9">
            <w:pPr>
              <w:pStyle w:val="TableText"/>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bl>
    <w:p w:rsidR="009224FD" w:rsidRPr="009224FD" w:rsidRDefault="009224FD" w:rsidP="009224FD">
      <w:pPr>
        <w:pStyle w:val="BodyText"/>
        <w:rPr>
          <w:rFonts w:cstheme="minorHAnsi"/>
        </w:rPr>
      </w:pPr>
    </w:p>
    <w:p w:rsidR="009224FD" w:rsidRPr="009224FD" w:rsidRDefault="009224FD" w:rsidP="009224FD">
      <w:pPr>
        <w:spacing w:before="120" w:line="360" w:lineRule="auto"/>
        <w:jc w:val="both"/>
        <w:rPr>
          <w:rFonts w:cstheme="minorHAnsi"/>
        </w:rPr>
      </w:pPr>
    </w:p>
    <w:p w:rsidR="009224FD" w:rsidRPr="009224FD" w:rsidRDefault="009224FD" w:rsidP="009224FD">
      <w:pPr>
        <w:pStyle w:val="BodyText"/>
        <w:rPr>
          <w:rFonts w:cstheme="minorHAnsi"/>
        </w:rPr>
      </w:pPr>
    </w:p>
    <w:p w:rsidR="009224FD" w:rsidRPr="009224FD" w:rsidRDefault="009224FD" w:rsidP="009224FD">
      <w:pPr>
        <w:rPr>
          <w:rFonts w:cstheme="minorHAnsi"/>
        </w:rPr>
      </w:pPr>
    </w:p>
    <w:p w:rsidR="009224FD" w:rsidRDefault="009224FD" w:rsidP="009224FD">
      <w:pPr>
        <w:pStyle w:val="TableText"/>
        <w:rPr>
          <w:rFonts w:cstheme="minorHAnsi"/>
        </w:rPr>
      </w:pPr>
    </w:p>
    <w:p w:rsidR="00B923CE" w:rsidRPr="009224FD" w:rsidRDefault="00B923CE" w:rsidP="009224FD">
      <w:pPr>
        <w:pStyle w:val="TableText"/>
        <w:rPr>
          <w:rFonts w:cstheme="minorHAnsi"/>
        </w:rPr>
        <w:sectPr w:rsidR="00B923CE" w:rsidRPr="009224FD" w:rsidSect="009224FD">
          <w:footerReference w:type="default" r:id="rId10"/>
          <w:pgSz w:w="11906" w:h="16838" w:code="9"/>
          <w:pgMar w:top="1440" w:right="1440" w:bottom="1440" w:left="1440" w:header="567" w:footer="397" w:gutter="0"/>
          <w:cols w:space="720"/>
          <w:docGrid w:linePitch="360"/>
        </w:sectPr>
      </w:pPr>
    </w:p>
    <w:tbl>
      <w:tblPr>
        <w:tblStyle w:val="ANMAC"/>
        <w:tblpPr w:leftFromText="181" w:rightFromText="181" w:vertAnchor="text" w:horzAnchor="margin" w:tblpX="-407" w:tblpY="-708"/>
        <w:tblW w:w="5000" w:type="pct"/>
        <w:tblLayout w:type="fixed"/>
        <w:tblLook w:val="04A0" w:firstRow="1" w:lastRow="0" w:firstColumn="1" w:lastColumn="0" w:noHBand="0" w:noVBand="1"/>
      </w:tblPr>
      <w:tblGrid>
        <w:gridCol w:w="4915"/>
        <w:gridCol w:w="5401"/>
        <w:gridCol w:w="3652"/>
      </w:tblGrid>
      <w:tr w:rsidR="00D60FD8" w:rsidRPr="009224FD" w:rsidTr="00A124B5">
        <w:trPr>
          <w:cnfStyle w:val="100000000000" w:firstRow="1" w:lastRow="0" w:firstColumn="0" w:lastColumn="0" w:oddVBand="0" w:evenVBand="0" w:oddHBand="0" w:evenHBand="0" w:firstRowFirstColumn="0" w:firstRowLastColumn="0" w:lastRowFirstColumn="0" w:lastRowLastColumn="0"/>
          <w:trHeight w:val="2117"/>
        </w:trPr>
        <w:tc>
          <w:tcPr>
            <w:tcW w:w="4915" w:type="dxa"/>
            <w:shd w:val="clear" w:color="auto" w:fill="9BBB59"/>
          </w:tcPr>
          <w:p w:rsidR="00D60FD8" w:rsidRPr="00DF0AD8" w:rsidRDefault="00DF0AD8" w:rsidP="00A414E8">
            <w:pPr>
              <w:pStyle w:val="TableSubheading"/>
              <w:rPr>
                <w:rFonts w:asciiTheme="minorHAnsi" w:hAnsiTheme="minorHAnsi" w:cstheme="minorHAnsi"/>
                <w:color w:val="auto"/>
                <w:sz w:val="22"/>
                <w:szCs w:val="22"/>
              </w:rPr>
            </w:pPr>
            <w:bookmarkStart w:id="1" w:name="_Toc413761041"/>
            <w:bookmarkStart w:id="2" w:name="_Toc425413783"/>
            <w:r>
              <w:rPr>
                <w:rFonts w:asciiTheme="minorHAnsi" w:hAnsiTheme="minorHAnsi" w:cstheme="minorHAnsi"/>
                <w:color w:val="auto"/>
                <w:sz w:val="22"/>
                <w:szCs w:val="22"/>
              </w:rPr>
              <w:lastRenderedPageBreak/>
              <w:t xml:space="preserve">Academic Governance </w:t>
            </w:r>
          </w:p>
          <w:p w:rsidR="00B923CE" w:rsidRPr="00B923CE" w:rsidRDefault="00B923CE" w:rsidP="00A414E8">
            <w:pPr>
              <w:pStyle w:val="TableText"/>
              <w:rPr>
                <w:rFonts w:asciiTheme="minorHAnsi" w:hAnsiTheme="minorHAnsi" w:cstheme="minorHAnsi"/>
              </w:rPr>
            </w:pPr>
            <w:r w:rsidRPr="00B923CE">
              <w:rPr>
                <w:rFonts w:asciiTheme="minorHAnsi" w:hAnsiTheme="minorHAnsi" w:cstheme="minorHAnsi"/>
              </w:rPr>
              <w:t>Details of the education provider’s academic governance structure, which ensures quality assurance in terms of excellence in teaching and learning, integrity of assessment processes, evidence based practice, and ongoing review and evaluation</w:t>
            </w:r>
          </w:p>
          <w:p w:rsidR="00B923CE" w:rsidRPr="00B923CE" w:rsidRDefault="00B923CE" w:rsidP="00A414E8">
            <w:pPr>
              <w:pStyle w:val="TableText"/>
            </w:pPr>
          </w:p>
        </w:tc>
        <w:tc>
          <w:tcPr>
            <w:tcW w:w="5401" w:type="dxa"/>
            <w:shd w:val="clear" w:color="auto" w:fill="9BBB59"/>
          </w:tcPr>
          <w:p w:rsidR="00D60FD8" w:rsidRPr="00DF0AD8" w:rsidRDefault="00D60FD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 xml:space="preserve">Evidence </w:t>
            </w:r>
          </w:p>
          <w:p w:rsidR="00D60FD8" w:rsidRPr="00DF0AD8" w:rsidRDefault="00D60FD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(link to relevant pages in the curriculum document)</w:t>
            </w:r>
          </w:p>
          <w:p w:rsidR="00D60FD8" w:rsidRPr="00A124B5" w:rsidRDefault="00D60FD8" w:rsidP="00A414E8">
            <w:pPr>
              <w:pStyle w:val="TableText"/>
              <w:rPr>
                <w:rFonts w:asciiTheme="minorHAnsi" w:hAnsiTheme="minorHAnsi" w:cstheme="minorHAnsi"/>
                <w:b/>
              </w:rPr>
            </w:pPr>
          </w:p>
        </w:tc>
        <w:tc>
          <w:tcPr>
            <w:tcW w:w="3652" w:type="dxa"/>
          </w:tcPr>
          <w:p w:rsidR="00D60FD8" w:rsidRPr="00DF0AD8" w:rsidRDefault="00D60FD8" w:rsidP="00A414E8">
            <w:pPr>
              <w:pStyle w:val="TableSubheading"/>
              <w:ind w:left="0"/>
              <w:rPr>
                <w:rFonts w:asciiTheme="minorHAnsi" w:hAnsiTheme="minorHAnsi" w:cstheme="minorHAnsi"/>
                <w:color w:val="auto"/>
                <w:sz w:val="22"/>
                <w:szCs w:val="22"/>
              </w:rPr>
            </w:pPr>
            <w:r w:rsidRPr="00DF0AD8">
              <w:rPr>
                <w:rFonts w:asciiTheme="minorHAnsi" w:hAnsiTheme="minorHAnsi" w:cstheme="minorHAnsi"/>
                <w:color w:val="auto"/>
                <w:sz w:val="22"/>
                <w:szCs w:val="22"/>
              </w:rPr>
              <w:t>NMBI use</w:t>
            </w:r>
          </w:p>
        </w:tc>
      </w:tr>
      <w:tr w:rsidR="00D867BB" w:rsidRPr="009224FD" w:rsidTr="00A124B5">
        <w:trPr>
          <w:trHeight w:val="1040"/>
        </w:trPr>
        <w:tc>
          <w:tcPr>
            <w:tcW w:w="4915" w:type="dxa"/>
            <w:tcBorders>
              <w:bottom w:val="single" w:sz="4" w:space="0" w:color="auto"/>
            </w:tcBorders>
          </w:tcPr>
          <w:p w:rsidR="00D867BB" w:rsidRPr="00A414E8" w:rsidRDefault="00D867BB" w:rsidP="00A414E8">
            <w:pPr>
              <w:pStyle w:val="TableText"/>
              <w:rPr>
                <w:rFonts w:asciiTheme="minorHAnsi" w:hAnsiTheme="minorHAnsi" w:cstheme="minorHAnsi"/>
                <w:sz w:val="22"/>
                <w:szCs w:val="22"/>
              </w:rPr>
            </w:pPr>
            <w:r w:rsidRPr="00A414E8">
              <w:rPr>
                <w:rFonts w:asciiTheme="minorHAnsi" w:hAnsiTheme="minorHAnsi" w:cstheme="minorHAnsi"/>
                <w:sz w:val="22"/>
                <w:szCs w:val="22"/>
              </w:rPr>
              <w:t>Educational providers respond to change and needs affecting professional, educational, health, policy, social, and economic issues</w:t>
            </w:r>
          </w:p>
          <w:p w:rsidR="00D867BB" w:rsidRPr="00A414E8" w:rsidRDefault="00D867BB" w:rsidP="00A414E8">
            <w:pPr>
              <w:pStyle w:val="TableText"/>
              <w:rPr>
                <w:rFonts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200"/>
        </w:trPr>
        <w:tc>
          <w:tcPr>
            <w:tcW w:w="4915" w:type="dxa"/>
            <w:tcBorders>
              <w:bottom w:val="single" w:sz="4" w:space="0" w:color="auto"/>
            </w:tcBorders>
          </w:tcPr>
          <w:p w:rsidR="00D867BB" w:rsidRPr="00A414E8" w:rsidRDefault="00D867BB" w:rsidP="00A414E8">
            <w:pPr>
              <w:pStyle w:val="TableText"/>
              <w:rPr>
                <w:rFonts w:asciiTheme="minorHAnsi" w:hAnsiTheme="minorHAnsi" w:cstheme="minorHAnsi"/>
                <w:sz w:val="22"/>
                <w:szCs w:val="22"/>
              </w:rPr>
            </w:pPr>
            <w:r w:rsidRPr="00A414E8">
              <w:rPr>
                <w:rFonts w:asciiTheme="minorHAnsi" w:hAnsiTheme="minorHAnsi" w:cstheme="minorHAnsi"/>
                <w:sz w:val="22"/>
                <w:szCs w:val="22"/>
              </w:rPr>
              <w:t>Educational providers keep appropriate records including records for the conferment of professional and academic awards</w:t>
            </w:r>
          </w:p>
          <w:p w:rsidR="00D867BB" w:rsidRPr="00A414E8" w:rsidRDefault="00D867BB" w:rsidP="00A414E8">
            <w:pPr>
              <w:pStyle w:val="TableText"/>
              <w:rPr>
                <w:rFonts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077"/>
        </w:trPr>
        <w:tc>
          <w:tcPr>
            <w:tcW w:w="4915" w:type="dxa"/>
            <w:tcBorders>
              <w:bottom w:val="single" w:sz="4" w:space="0" w:color="auto"/>
            </w:tcBorders>
          </w:tcPr>
          <w:p w:rsidR="00D867BB" w:rsidRPr="00A414E8" w:rsidRDefault="00D867BB" w:rsidP="00A414E8">
            <w:pPr>
              <w:pStyle w:val="TableText"/>
              <w:rPr>
                <w:rFonts w:asciiTheme="minorHAnsi" w:hAnsiTheme="minorHAnsi" w:cstheme="minorHAnsi"/>
                <w:sz w:val="22"/>
                <w:szCs w:val="22"/>
              </w:rPr>
            </w:pPr>
            <w:r w:rsidRPr="00A414E8">
              <w:rPr>
                <w:rFonts w:asciiTheme="minorHAnsi" w:hAnsiTheme="minorHAnsi" w:cstheme="minorHAnsi"/>
                <w:sz w:val="22"/>
                <w:szCs w:val="22"/>
              </w:rPr>
              <w:t>The process for monitoring student attendance is declared</w:t>
            </w:r>
          </w:p>
          <w:p w:rsidR="00D867BB" w:rsidRPr="00A414E8" w:rsidRDefault="00D867BB" w:rsidP="00A414E8">
            <w:pPr>
              <w:pStyle w:val="TableText"/>
              <w:rPr>
                <w:rFonts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120"/>
        </w:trPr>
        <w:tc>
          <w:tcPr>
            <w:tcW w:w="4915" w:type="dxa"/>
            <w:tcBorders>
              <w:bottom w:val="single" w:sz="4" w:space="0" w:color="auto"/>
            </w:tcBorders>
          </w:tcPr>
          <w:p w:rsidR="00D867BB" w:rsidRPr="00DE690A" w:rsidRDefault="00D867BB" w:rsidP="00DE690A">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Organisational structures supporting the management of the educational </w:t>
            </w:r>
            <w:r w:rsidR="00B569D9">
              <w:rPr>
                <w:rFonts w:asciiTheme="minorHAnsi" w:hAnsiTheme="minorHAnsi" w:cstheme="minorHAnsi"/>
                <w:sz w:val="22"/>
                <w:szCs w:val="22"/>
              </w:rPr>
              <w:t>programme</w:t>
            </w:r>
            <w:r w:rsidRPr="00A414E8">
              <w:rPr>
                <w:rFonts w:asciiTheme="minorHAnsi" w:hAnsiTheme="minorHAnsi" w:cstheme="minorHAnsi"/>
                <w:sz w:val="22"/>
                <w:szCs w:val="22"/>
              </w:rPr>
              <w:t xml:space="preserve">/units of </w:t>
            </w:r>
            <w:r w:rsidR="00EB6CCC" w:rsidRPr="00A414E8">
              <w:rPr>
                <w:rFonts w:asciiTheme="minorHAnsi" w:hAnsiTheme="minorHAnsi" w:cstheme="minorHAnsi"/>
                <w:sz w:val="22"/>
                <w:szCs w:val="22"/>
              </w:rPr>
              <w:t>learning are</w:t>
            </w:r>
            <w:r w:rsidRPr="00A414E8">
              <w:rPr>
                <w:rFonts w:asciiTheme="minorHAnsi" w:hAnsiTheme="minorHAnsi" w:cstheme="minorHAnsi"/>
                <w:sz w:val="22"/>
                <w:szCs w:val="22"/>
              </w:rPr>
              <w:t xml:space="preserve"> explicit</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422"/>
        </w:trPr>
        <w:tc>
          <w:tcPr>
            <w:tcW w:w="4915" w:type="dxa"/>
            <w:tcBorders>
              <w:bottom w:val="single" w:sz="4" w:space="0" w:color="auto"/>
            </w:tcBorders>
          </w:tcPr>
          <w:p w:rsidR="00D867BB" w:rsidRPr="00A414E8" w:rsidRDefault="00D867BB" w:rsidP="00A414E8">
            <w:pPr>
              <w:pStyle w:val="TableText"/>
              <w:rPr>
                <w:rFonts w:asciiTheme="minorHAnsi" w:hAnsiTheme="minorHAnsi" w:cstheme="minorHAnsi"/>
                <w:sz w:val="22"/>
                <w:szCs w:val="22"/>
              </w:rPr>
            </w:pPr>
            <w:r w:rsidRPr="00A414E8">
              <w:rPr>
                <w:rFonts w:asciiTheme="minorHAnsi" w:hAnsiTheme="minorHAnsi" w:cstheme="minorHAnsi"/>
                <w:sz w:val="22"/>
                <w:szCs w:val="22"/>
              </w:rPr>
              <w:t>Education providers have a post-registration committee/local joint working group, with representatives of the key stakeholders, including service-users</w:t>
            </w:r>
          </w:p>
          <w:p w:rsidR="00D867BB" w:rsidRPr="00A414E8" w:rsidRDefault="00D867BB" w:rsidP="00A414E8">
            <w:pPr>
              <w:pStyle w:val="TableText"/>
              <w:rPr>
                <w:rFonts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122"/>
        </w:trPr>
        <w:tc>
          <w:tcPr>
            <w:tcW w:w="4915" w:type="dxa"/>
            <w:tcBorders>
              <w:bottom w:val="single" w:sz="4" w:space="0" w:color="auto"/>
            </w:tcBorders>
          </w:tcPr>
          <w:p w:rsidR="00D867BB" w:rsidRPr="00A414E8" w:rsidRDefault="00D867BB" w:rsidP="00A414E8">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The staff resource supports the delivery of the education </w:t>
            </w:r>
            <w:r w:rsidR="00B569D9">
              <w:rPr>
                <w:rFonts w:asciiTheme="minorHAnsi" w:hAnsiTheme="minorHAnsi" w:cstheme="minorHAnsi"/>
                <w:sz w:val="22"/>
                <w:szCs w:val="22"/>
              </w:rPr>
              <w:t>programme</w:t>
            </w:r>
            <w:r w:rsidRPr="00A414E8">
              <w:rPr>
                <w:rFonts w:asciiTheme="minorHAnsi" w:hAnsiTheme="minorHAnsi" w:cstheme="minorHAnsi"/>
                <w:sz w:val="22"/>
                <w:szCs w:val="22"/>
              </w:rPr>
              <w:t>/units of learning at the stated professional, clinical and academic levels</w:t>
            </w:r>
          </w:p>
          <w:p w:rsidR="00D867BB" w:rsidRPr="00A414E8" w:rsidRDefault="00D867BB" w:rsidP="00A414E8">
            <w:pPr>
              <w:pStyle w:val="TableText"/>
              <w:rPr>
                <w:rFonts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838"/>
        </w:trPr>
        <w:tc>
          <w:tcPr>
            <w:tcW w:w="4915" w:type="dxa"/>
            <w:tcBorders>
              <w:bottom w:val="single" w:sz="4" w:space="0" w:color="auto"/>
            </w:tcBorders>
          </w:tcPr>
          <w:p w:rsidR="00D867BB" w:rsidRPr="00A414E8" w:rsidRDefault="00D867BB" w:rsidP="00A414E8">
            <w:pPr>
              <w:pStyle w:val="TableText"/>
              <w:rPr>
                <w:rFonts w:asciiTheme="minorHAnsi" w:hAnsiTheme="minorHAnsi" w:cstheme="minorHAnsi"/>
                <w:sz w:val="22"/>
                <w:szCs w:val="22"/>
              </w:rPr>
            </w:pPr>
            <w:r w:rsidRPr="00A414E8">
              <w:rPr>
                <w:rFonts w:asciiTheme="minorHAnsi" w:hAnsiTheme="minorHAnsi" w:cstheme="minorHAnsi"/>
                <w:sz w:val="22"/>
                <w:szCs w:val="22"/>
              </w:rPr>
              <w:lastRenderedPageBreak/>
              <w:t>Lecturers/tutors are involved in clinic</w:t>
            </w:r>
            <w:r w:rsidR="00EB6CCC">
              <w:rPr>
                <w:rFonts w:asciiTheme="minorHAnsi" w:hAnsiTheme="minorHAnsi" w:cstheme="minorHAnsi"/>
                <w:sz w:val="22"/>
                <w:szCs w:val="22"/>
              </w:rPr>
              <w:t>al practice and its development</w:t>
            </w:r>
          </w:p>
          <w:p w:rsidR="00D867BB" w:rsidRPr="00A414E8" w:rsidRDefault="00D867BB" w:rsidP="00A414E8">
            <w:pPr>
              <w:pStyle w:val="TableText"/>
              <w:rPr>
                <w:rFonts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412"/>
        </w:trPr>
        <w:tc>
          <w:tcPr>
            <w:tcW w:w="4915" w:type="dxa"/>
            <w:tcBorders>
              <w:bottom w:val="single" w:sz="4" w:space="0" w:color="auto"/>
            </w:tcBorders>
          </w:tcPr>
          <w:p w:rsidR="00D867BB" w:rsidRPr="00A414E8" w:rsidRDefault="00D867B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t>Nursing/midwifery subjects are developed and taught by registered nurses/midwives with appropriate professional, clinical and academic qualifications and teaching expertise in the subject matter</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549"/>
        </w:trPr>
        <w:tc>
          <w:tcPr>
            <w:tcW w:w="4915" w:type="dxa"/>
            <w:tcBorders>
              <w:bottom w:val="single" w:sz="4" w:space="0" w:color="auto"/>
            </w:tcBorders>
          </w:tcPr>
          <w:p w:rsidR="00D867BB" w:rsidRPr="00DE690A" w:rsidRDefault="00D867B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A mechanism for staff development which prepares staff to deliver the education </w:t>
            </w:r>
            <w:r w:rsidR="00B569D9">
              <w:rPr>
                <w:rFonts w:asciiTheme="minorHAnsi" w:hAnsiTheme="minorHAnsi" w:cstheme="minorHAnsi"/>
                <w:sz w:val="22"/>
                <w:szCs w:val="22"/>
              </w:rPr>
              <w:t>programme</w:t>
            </w:r>
            <w:r w:rsidRPr="00A414E8">
              <w:rPr>
                <w:rFonts w:asciiTheme="minorHAnsi" w:hAnsiTheme="minorHAnsi" w:cstheme="minorHAnsi"/>
                <w:sz w:val="22"/>
                <w:szCs w:val="22"/>
              </w:rPr>
              <w:t>/units of learning including the provision for maintaining nursing/midwifery expertise and credibility is identified</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029"/>
        </w:trPr>
        <w:tc>
          <w:tcPr>
            <w:tcW w:w="4915" w:type="dxa"/>
            <w:tcBorders>
              <w:bottom w:val="single" w:sz="4" w:space="0" w:color="auto"/>
            </w:tcBorders>
          </w:tcPr>
          <w:p w:rsidR="00D867BB" w:rsidRPr="00A414E8" w:rsidRDefault="00D867B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t>Educational providers provide administrative and clerical support for all educational activity</w:t>
            </w:r>
          </w:p>
          <w:p w:rsidR="00D867BB" w:rsidRPr="00A414E8" w:rsidRDefault="00D867BB" w:rsidP="00017662">
            <w:pPr>
              <w:pStyle w:val="TableText"/>
              <w:rPr>
                <w:rFonts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412"/>
        </w:trPr>
        <w:tc>
          <w:tcPr>
            <w:tcW w:w="4915" w:type="dxa"/>
            <w:tcBorders>
              <w:bottom w:val="single" w:sz="4" w:space="0" w:color="auto"/>
            </w:tcBorders>
          </w:tcPr>
          <w:p w:rsidR="00D867BB" w:rsidRPr="00A414E8" w:rsidRDefault="00D867B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Educational providers provide educational resources/facilities (including library, computer, audio-visual &amp; accommodation) to meet the teaching and learning needs of the specific post-registration </w:t>
            </w:r>
            <w:r w:rsidR="00B569D9">
              <w:rPr>
                <w:rFonts w:asciiTheme="minorHAnsi" w:hAnsiTheme="minorHAnsi" w:cstheme="minorHAnsi"/>
                <w:sz w:val="22"/>
                <w:szCs w:val="22"/>
              </w:rPr>
              <w:t>programme</w:t>
            </w:r>
            <w:r w:rsidRPr="00A414E8">
              <w:rPr>
                <w:rFonts w:asciiTheme="minorHAnsi" w:hAnsiTheme="minorHAnsi" w:cstheme="minorHAnsi"/>
                <w:sz w:val="22"/>
                <w:szCs w:val="22"/>
              </w:rPr>
              <w:t>/units of learning</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2404"/>
        </w:trPr>
        <w:tc>
          <w:tcPr>
            <w:tcW w:w="4915" w:type="dxa"/>
            <w:tcBorders>
              <w:bottom w:val="single" w:sz="4" w:space="0" w:color="auto"/>
            </w:tcBorders>
          </w:tcPr>
          <w:p w:rsidR="00D867BB" w:rsidRPr="00DE690A" w:rsidRDefault="00D867B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Mechanisms for learner admission to the nursing and midwifery education </w:t>
            </w:r>
            <w:r w:rsidR="00B569D9">
              <w:rPr>
                <w:rFonts w:asciiTheme="minorHAnsi" w:hAnsiTheme="minorHAnsi" w:cstheme="minorHAnsi"/>
                <w:sz w:val="22"/>
                <w:szCs w:val="22"/>
              </w:rPr>
              <w:t>programme</w:t>
            </w:r>
            <w:r w:rsidRPr="00A414E8">
              <w:rPr>
                <w:rFonts w:asciiTheme="minorHAnsi" w:hAnsiTheme="minorHAnsi" w:cstheme="minorHAnsi"/>
                <w:sz w:val="22"/>
                <w:szCs w:val="22"/>
              </w:rPr>
              <w:t xml:space="preserve">/units of learning ensure that the stated entry requirements are met.  This should include specific mechanisms for the recognition of prior learning.  The mechanism and conditions for learning exiting the education </w:t>
            </w:r>
            <w:r w:rsidR="00B569D9">
              <w:rPr>
                <w:rFonts w:asciiTheme="minorHAnsi" w:hAnsiTheme="minorHAnsi" w:cstheme="minorHAnsi"/>
                <w:sz w:val="22"/>
                <w:szCs w:val="22"/>
              </w:rPr>
              <w:t>programme</w:t>
            </w:r>
            <w:r w:rsidRPr="00A414E8">
              <w:rPr>
                <w:rFonts w:asciiTheme="minorHAnsi" w:hAnsiTheme="minorHAnsi" w:cstheme="minorHAnsi"/>
                <w:sz w:val="22"/>
                <w:szCs w:val="22"/>
              </w:rPr>
              <w:t>/units of learning before completion are explicit</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512"/>
        </w:trPr>
        <w:tc>
          <w:tcPr>
            <w:tcW w:w="4915" w:type="dxa"/>
            <w:tcBorders>
              <w:bottom w:val="single" w:sz="4" w:space="0" w:color="auto"/>
            </w:tcBorders>
          </w:tcPr>
          <w:p w:rsidR="00D867BB" w:rsidRPr="00DE690A" w:rsidRDefault="00D867BB" w:rsidP="00DE690A">
            <w:pPr>
              <w:pStyle w:val="TableText"/>
              <w:rPr>
                <w:rFonts w:asciiTheme="minorHAnsi" w:hAnsiTheme="minorHAnsi" w:cstheme="minorHAnsi"/>
                <w:sz w:val="22"/>
                <w:szCs w:val="22"/>
              </w:rPr>
            </w:pPr>
            <w:r w:rsidRPr="00A414E8">
              <w:rPr>
                <w:rFonts w:asciiTheme="minorHAnsi" w:hAnsiTheme="minorHAnsi" w:cstheme="minorHAnsi"/>
                <w:sz w:val="22"/>
                <w:szCs w:val="22"/>
              </w:rPr>
              <w:lastRenderedPageBreak/>
              <w:t xml:space="preserve">Following any interruption in the education </w:t>
            </w:r>
            <w:r w:rsidR="00B569D9">
              <w:rPr>
                <w:rFonts w:asciiTheme="minorHAnsi" w:hAnsiTheme="minorHAnsi" w:cstheme="minorHAnsi"/>
                <w:sz w:val="22"/>
                <w:szCs w:val="22"/>
              </w:rPr>
              <w:t>programme</w:t>
            </w:r>
            <w:r w:rsidRPr="00A414E8">
              <w:rPr>
                <w:rFonts w:asciiTheme="minorHAnsi" w:hAnsiTheme="minorHAnsi" w:cstheme="minorHAnsi"/>
                <w:sz w:val="22"/>
                <w:szCs w:val="22"/>
              </w:rPr>
              <w:t>/units of learning the educational provider ensures that the learner meets the education programme/units of learning requirements</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985"/>
        </w:trPr>
        <w:tc>
          <w:tcPr>
            <w:tcW w:w="4915" w:type="dxa"/>
            <w:tcBorders>
              <w:bottom w:val="single" w:sz="4" w:space="0" w:color="auto"/>
            </w:tcBorders>
          </w:tcPr>
          <w:p w:rsidR="00D867BB" w:rsidRPr="00A414E8" w:rsidRDefault="00D867BB" w:rsidP="00EB6CCC">
            <w:pPr>
              <w:pStyle w:val="TableText"/>
              <w:rPr>
                <w:rFonts w:cstheme="minorHAnsi"/>
                <w:sz w:val="22"/>
                <w:szCs w:val="22"/>
              </w:rPr>
            </w:pPr>
            <w:r w:rsidRPr="00A414E8">
              <w:rPr>
                <w:rFonts w:asciiTheme="minorHAnsi" w:hAnsiTheme="minorHAnsi" w:cstheme="minorHAnsi"/>
                <w:sz w:val="22"/>
                <w:szCs w:val="22"/>
              </w:rPr>
              <w:t xml:space="preserve">The mechanism for learner support in relation to student services, facilities and academic and clinical guidance </w:t>
            </w:r>
            <w:r w:rsidR="00EB6CCC">
              <w:rPr>
                <w:rFonts w:asciiTheme="minorHAnsi" w:hAnsiTheme="minorHAnsi" w:cstheme="minorHAnsi"/>
                <w:sz w:val="22"/>
                <w:szCs w:val="22"/>
              </w:rPr>
              <w:t>is explicit</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269"/>
        </w:trPr>
        <w:tc>
          <w:tcPr>
            <w:tcW w:w="4915" w:type="dxa"/>
            <w:tcBorders>
              <w:bottom w:val="single" w:sz="4" w:space="0" w:color="auto"/>
            </w:tcBorders>
          </w:tcPr>
          <w:p w:rsidR="00D867BB" w:rsidRDefault="00D867BB" w:rsidP="00EB6CCC">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The educational provider provides an annual programme report on the education </w:t>
            </w:r>
            <w:r w:rsidR="00B569D9">
              <w:rPr>
                <w:rFonts w:asciiTheme="minorHAnsi" w:hAnsiTheme="minorHAnsi" w:cstheme="minorHAnsi"/>
                <w:sz w:val="22"/>
                <w:szCs w:val="22"/>
              </w:rPr>
              <w:t>programme</w:t>
            </w:r>
            <w:r w:rsidRPr="00A414E8">
              <w:rPr>
                <w:rFonts w:asciiTheme="minorHAnsi" w:hAnsiTheme="minorHAnsi" w:cstheme="minorHAnsi"/>
                <w:sz w:val="22"/>
                <w:szCs w:val="22"/>
              </w:rPr>
              <w:t xml:space="preserve">/units of learning including the external examiner’s report to the NMBI </w:t>
            </w: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Default="00B57D00" w:rsidP="00EB6CCC">
            <w:pPr>
              <w:pStyle w:val="TableText"/>
              <w:rPr>
                <w:rFonts w:asciiTheme="minorHAnsi" w:hAnsiTheme="minorHAnsi" w:cstheme="minorHAnsi"/>
                <w:sz w:val="22"/>
                <w:szCs w:val="22"/>
              </w:rPr>
            </w:pPr>
          </w:p>
          <w:p w:rsidR="00B57D00" w:rsidRPr="00DE690A" w:rsidRDefault="00B57D00" w:rsidP="00EB6CCC">
            <w:pPr>
              <w:pStyle w:val="TableText"/>
              <w:rPr>
                <w:rFonts w:asciiTheme="minorHAnsi" w:hAnsiTheme="minorHAnsi" w:cstheme="minorHAnsi"/>
                <w:sz w:val="22"/>
                <w:szCs w:val="22"/>
              </w:rPr>
            </w:pP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150"/>
        </w:trPr>
        <w:tc>
          <w:tcPr>
            <w:tcW w:w="4915" w:type="dxa"/>
            <w:tcBorders>
              <w:bottom w:val="single" w:sz="4" w:space="0" w:color="auto"/>
            </w:tcBorders>
            <w:shd w:val="clear" w:color="auto" w:fill="9BBB59" w:themeFill="accent3"/>
          </w:tcPr>
          <w:p w:rsidR="00D867BB" w:rsidRPr="00DF0AD8" w:rsidRDefault="00DF0AD8" w:rsidP="00EB6CCC">
            <w:pPr>
              <w:pStyle w:val="TableSubheading"/>
              <w:rPr>
                <w:rFonts w:asciiTheme="minorHAnsi" w:hAnsiTheme="minorHAnsi" w:cstheme="minorHAnsi"/>
                <w:sz w:val="22"/>
                <w:szCs w:val="22"/>
              </w:rPr>
            </w:pPr>
            <w:r>
              <w:rPr>
                <w:rFonts w:asciiTheme="minorHAnsi" w:hAnsiTheme="minorHAnsi" w:cstheme="minorHAnsi"/>
                <w:sz w:val="22"/>
                <w:szCs w:val="22"/>
              </w:rPr>
              <w:lastRenderedPageBreak/>
              <w:t xml:space="preserve">Programme Design and Development </w:t>
            </w:r>
          </w:p>
          <w:p w:rsidR="00D867BB" w:rsidRPr="00EB6CCC" w:rsidRDefault="00AC66D5" w:rsidP="00EB6CCC">
            <w:pPr>
              <w:ind w:left="85" w:right="90"/>
              <w:jc w:val="both"/>
            </w:pPr>
            <w:r w:rsidRPr="00EB6CCC">
              <w:rPr>
                <w:rFonts w:asciiTheme="minorHAnsi" w:hAnsiTheme="minorHAnsi" w:cstheme="minorHAnsi"/>
                <w:color w:val="auto"/>
              </w:rPr>
              <w:t>Description of educational theory that is applied to support the programme in terms of guiding delivery of curriculum content, varying student learning styles and contexts, stimulating student engagement, enabling achievement of the learning outcomes, scaffolding learning throughout the programme, facilitating deep rather than surface learning, developing and enhancing intellectual skills in inquiry, analysis and synthesis, building clinical leadership and clinical scholarsh</w:t>
            </w:r>
            <w:r w:rsidR="00EB6CCC">
              <w:rPr>
                <w:rFonts w:asciiTheme="minorHAnsi" w:hAnsiTheme="minorHAnsi" w:cstheme="minorHAnsi"/>
                <w:color w:val="auto"/>
              </w:rPr>
              <w:t>ip, enabling intra-professional</w:t>
            </w:r>
            <w:r w:rsidRPr="00EB6CCC">
              <w:rPr>
                <w:rFonts w:asciiTheme="minorHAnsi" w:hAnsiTheme="minorHAnsi" w:cstheme="minorHAnsi"/>
                <w:color w:val="auto"/>
              </w:rPr>
              <w:t xml:space="preserve"> and inter-professional learning for collaborative practice</w:t>
            </w:r>
          </w:p>
        </w:tc>
        <w:tc>
          <w:tcPr>
            <w:tcW w:w="5401" w:type="dxa"/>
            <w:shd w:val="clear" w:color="auto" w:fill="9BBB59" w:themeFill="accent3"/>
          </w:tcPr>
          <w:p w:rsidR="00D867BB" w:rsidRPr="00DF0AD8" w:rsidRDefault="00D867BB"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 xml:space="preserve">Evidence </w:t>
            </w:r>
          </w:p>
          <w:p w:rsidR="00D867BB" w:rsidRPr="00DF0AD8" w:rsidRDefault="00D867BB"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(link to relevant pages in the curriculum document)</w:t>
            </w:r>
          </w:p>
          <w:p w:rsidR="00D867BB" w:rsidRPr="009224FD" w:rsidRDefault="00D867BB" w:rsidP="00A414E8">
            <w:pPr>
              <w:pStyle w:val="TableSubheading"/>
              <w:jc w:val="left"/>
              <w:rPr>
                <w:rFonts w:asciiTheme="minorHAnsi" w:hAnsiTheme="minorHAnsi" w:cstheme="minorHAnsi"/>
              </w:rPr>
            </w:pPr>
          </w:p>
        </w:tc>
        <w:tc>
          <w:tcPr>
            <w:tcW w:w="3652" w:type="dxa"/>
            <w:shd w:val="clear" w:color="auto" w:fill="9BBB59" w:themeFill="accent3"/>
          </w:tcPr>
          <w:p w:rsidR="00D867BB" w:rsidRPr="00DF0AD8" w:rsidRDefault="00D867BB" w:rsidP="00A414E8">
            <w:pPr>
              <w:pStyle w:val="TableText"/>
              <w:jc w:val="center"/>
              <w:rPr>
                <w:rFonts w:asciiTheme="minorHAnsi" w:hAnsiTheme="minorHAnsi" w:cstheme="minorHAnsi"/>
                <w:b/>
                <w:sz w:val="22"/>
                <w:szCs w:val="22"/>
              </w:rPr>
            </w:pPr>
            <w:r w:rsidRPr="00DF0AD8">
              <w:rPr>
                <w:rFonts w:asciiTheme="minorHAnsi" w:hAnsiTheme="minorHAnsi" w:cstheme="minorHAnsi"/>
                <w:b/>
                <w:sz w:val="22"/>
                <w:szCs w:val="22"/>
              </w:rPr>
              <w:t>NMBI use only</w:t>
            </w:r>
          </w:p>
        </w:tc>
      </w:tr>
      <w:tr w:rsidR="00D867BB" w:rsidRPr="009224FD" w:rsidTr="00A124B5">
        <w:trPr>
          <w:trHeight w:val="1549"/>
        </w:trPr>
        <w:tc>
          <w:tcPr>
            <w:tcW w:w="4915" w:type="dxa"/>
            <w:tcBorders>
              <w:bottom w:val="single" w:sz="4" w:space="0" w:color="auto"/>
            </w:tcBorders>
          </w:tcPr>
          <w:p w:rsidR="00D867BB" w:rsidRPr="00DE690A" w:rsidRDefault="00D867BB" w:rsidP="00EB6CCC">
            <w:pPr>
              <w:pStyle w:val="TableText"/>
              <w:rPr>
                <w:rFonts w:asciiTheme="minorHAnsi" w:hAnsiTheme="minorHAnsi" w:cstheme="minorHAnsi"/>
                <w:sz w:val="22"/>
                <w:szCs w:val="22"/>
              </w:rPr>
            </w:pPr>
            <w:r w:rsidRPr="00A414E8">
              <w:rPr>
                <w:rFonts w:asciiTheme="minorHAnsi" w:hAnsiTheme="minorHAnsi" w:cstheme="minorHAnsi"/>
                <w:sz w:val="22"/>
                <w:szCs w:val="22"/>
              </w:rPr>
              <w:t>Curriculum design and development reflect research and evidence based educational theory and health care theory, policy and practice.   National and International benchmarks shoul</w:t>
            </w:r>
            <w:r w:rsidR="00EB6CCC">
              <w:rPr>
                <w:rFonts w:asciiTheme="minorHAnsi" w:hAnsiTheme="minorHAnsi" w:cstheme="minorHAnsi"/>
                <w:sz w:val="22"/>
                <w:szCs w:val="22"/>
              </w:rPr>
              <w:t>d inform curriculum development</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884"/>
        </w:trPr>
        <w:tc>
          <w:tcPr>
            <w:tcW w:w="4915" w:type="dxa"/>
            <w:tcBorders>
              <w:bottom w:val="single" w:sz="4" w:space="0" w:color="auto"/>
            </w:tcBorders>
          </w:tcPr>
          <w:p w:rsidR="00D867BB" w:rsidRPr="00DE690A" w:rsidRDefault="00D867BB" w:rsidP="00DE690A">
            <w:pPr>
              <w:pStyle w:val="TableText"/>
              <w:rPr>
                <w:rFonts w:asciiTheme="minorHAnsi" w:hAnsiTheme="minorHAnsi" w:cstheme="minorHAnsi"/>
                <w:sz w:val="22"/>
                <w:szCs w:val="22"/>
              </w:rPr>
            </w:pPr>
            <w:r w:rsidRPr="00A414E8">
              <w:rPr>
                <w:rFonts w:asciiTheme="minorHAnsi" w:hAnsiTheme="minorHAnsi" w:cstheme="minorHAnsi"/>
                <w:sz w:val="22"/>
                <w:szCs w:val="22"/>
              </w:rPr>
              <w:t>The curriculum model chosen should be dynamic and flexible to allow for changes in nursing/midwifery pr</w:t>
            </w:r>
            <w:r w:rsidR="00EB6CCC">
              <w:rPr>
                <w:rFonts w:asciiTheme="minorHAnsi" w:hAnsiTheme="minorHAnsi" w:cstheme="minorHAnsi"/>
                <w:sz w:val="22"/>
                <w:szCs w:val="22"/>
              </w:rPr>
              <w:t>actice and health care delivery</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D867BB" w:rsidRPr="009224FD" w:rsidTr="00A124B5">
        <w:trPr>
          <w:trHeight w:val="1253"/>
        </w:trPr>
        <w:tc>
          <w:tcPr>
            <w:tcW w:w="4915" w:type="dxa"/>
            <w:tcBorders>
              <w:bottom w:val="single" w:sz="4" w:space="0" w:color="auto"/>
            </w:tcBorders>
          </w:tcPr>
          <w:p w:rsidR="00D867BB" w:rsidRPr="00DE690A" w:rsidRDefault="00D867BB" w:rsidP="00DE690A">
            <w:pPr>
              <w:pStyle w:val="TableText"/>
              <w:rPr>
                <w:rFonts w:asciiTheme="minorHAnsi" w:hAnsiTheme="minorHAnsi" w:cstheme="minorHAnsi"/>
                <w:sz w:val="22"/>
                <w:szCs w:val="22"/>
              </w:rPr>
            </w:pPr>
            <w:r w:rsidRPr="00A414E8">
              <w:rPr>
                <w:rFonts w:asciiTheme="minorHAnsi" w:hAnsiTheme="minorHAnsi" w:cstheme="minorHAnsi"/>
                <w:sz w:val="22"/>
                <w:szCs w:val="22"/>
              </w:rPr>
              <w:t>Theoretical and clinical learning experiences and the learning environment must support the achievement of the aims and objective/outcomes of t</w:t>
            </w:r>
            <w:r w:rsidR="00EB6CCC">
              <w:rPr>
                <w:rFonts w:asciiTheme="minorHAnsi" w:hAnsiTheme="minorHAnsi" w:cstheme="minorHAnsi"/>
                <w:sz w:val="22"/>
                <w:szCs w:val="22"/>
              </w:rPr>
              <w:t xml:space="preserve">he </w:t>
            </w:r>
            <w:r w:rsidR="00B569D9">
              <w:rPr>
                <w:rFonts w:asciiTheme="minorHAnsi" w:hAnsiTheme="minorHAnsi" w:cstheme="minorHAnsi"/>
                <w:sz w:val="22"/>
                <w:szCs w:val="22"/>
              </w:rPr>
              <w:t>programme</w:t>
            </w:r>
            <w:r w:rsidR="00EB6CCC">
              <w:rPr>
                <w:rFonts w:asciiTheme="minorHAnsi" w:hAnsiTheme="minorHAnsi" w:cstheme="minorHAnsi"/>
                <w:sz w:val="22"/>
                <w:szCs w:val="22"/>
              </w:rPr>
              <w:t>/units of learning</w:t>
            </w:r>
          </w:p>
        </w:tc>
        <w:tc>
          <w:tcPr>
            <w:tcW w:w="5401" w:type="dxa"/>
          </w:tcPr>
          <w:p w:rsidR="00D867BB" w:rsidRDefault="00D867BB" w:rsidP="00A414E8">
            <w:pPr>
              <w:rPr>
                <w:rFonts w:cstheme="minorHAnsi"/>
              </w:rPr>
            </w:pPr>
          </w:p>
        </w:tc>
        <w:tc>
          <w:tcPr>
            <w:tcW w:w="3652" w:type="dxa"/>
            <w:shd w:val="clear" w:color="auto" w:fill="EAFCF3"/>
          </w:tcPr>
          <w:p w:rsidR="00D867BB" w:rsidRPr="009224FD" w:rsidRDefault="00D867BB" w:rsidP="00A414E8">
            <w:pPr>
              <w:pStyle w:val="TableText"/>
              <w:rPr>
                <w:rFonts w:cstheme="minorHAnsi"/>
              </w:rPr>
            </w:pPr>
          </w:p>
        </w:tc>
      </w:tr>
      <w:tr w:rsidR="00AF795B" w:rsidRPr="009224FD" w:rsidTr="005D118E">
        <w:trPr>
          <w:trHeight w:val="1307"/>
        </w:trPr>
        <w:tc>
          <w:tcPr>
            <w:tcW w:w="4915" w:type="dxa"/>
            <w:tcBorders>
              <w:bottom w:val="single" w:sz="4" w:space="0" w:color="auto"/>
            </w:tcBorders>
          </w:tcPr>
          <w:p w:rsidR="0095780B" w:rsidRPr="00EB6CCC" w:rsidRDefault="00743D67" w:rsidP="00893F83">
            <w:pPr>
              <w:pStyle w:val="TableText"/>
              <w:rPr>
                <w:rFonts w:cstheme="minorHAnsi"/>
                <w:color w:val="auto"/>
                <w:sz w:val="22"/>
                <w:szCs w:val="22"/>
              </w:rPr>
            </w:pPr>
            <w:r>
              <w:rPr>
                <w:rFonts w:asciiTheme="minorHAnsi" w:hAnsiTheme="minorHAnsi" w:cstheme="minorHAnsi"/>
                <w:color w:val="auto"/>
                <w:sz w:val="22"/>
                <w:szCs w:val="22"/>
              </w:rPr>
              <w:t>T</w:t>
            </w:r>
            <w:r w:rsidR="00AD6EDC" w:rsidRPr="00EB6CCC">
              <w:rPr>
                <w:rFonts w:asciiTheme="minorHAnsi" w:hAnsiTheme="minorHAnsi" w:cstheme="minorHAnsi"/>
                <w:color w:val="auto"/>
                <w:sz w:val="22"/>
                <w:szCs w:val="22"/>
              </w:rPr>
              <w:t xml:space="preserve">he programme’s </w:t>
            </w:r>
            <w:r w:rsidR="00AF795B" w:rsidRPr="00EB6CCC">
              <w:rPr>
                <w:rFonts w:asciiTheme="minorHAnsi" w:hAnsiTheme="minorHAnsi" w:cstheme="minorHAnsi"/>
                <w:color w:val="auto"/>
                <w:sz w:val="22"/>
                <w:szCs w:val="22"/>
              </w:rPr>
              <w:t>learning outcome</w:t>
            </w:r>
            <w:r w:rsidR="00AD6EDC" w:rsidRPr="00EB6CCC">
              <w:rPr>
                <w:rFonts w:asciiTheme="minorHAnsi" w:hAnsiTheme="minorHAnsi" w:cstheme="minorHAnsi"/>
                <w:color w:val="auto"/>
                <w:sz w:val="22"/>
                <w:szCs w:val="22"/>
              </w:rPr>
              <w:t>s</w:t>
            </w:r>
            <w:r w:rsidR="00AF795B" w:rsidRPr="00EB6CC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are mapped </w:t>
            </w:r>
            <w:r w:rsidR="00AF795B" w:rsidRPr="00EB6CCC">
              <w:rPr>
                <w:rFonts w:asciiTheme="minorHAnsi" w:hAnsiTheme="minorHAnsi" w:cstheme="minorHAnsi"/>
                <w:color w:val="auto"/>
                <w:sz w:val="22"/>
                <w:szCs w:val="22"/>
              </w:rPr>
              <w:t xml:space="preserve">to </w:t>
            </w:r>
            <w:r>
              <w:rPr>
                <w:rFonts w:asciiTheme="minorHAnsi" w:hAnsiTheme="minorHAnsi" w:cstheme="minorHAnsi"/>
                <w:color w:val="auto"/>
                <w:sz w:val="22"/>
                <w:szCs w:val="22"/>
              </w:rPr>
              <w:t xml:space="preserve">the  appropriate </w:t>
            </w:r>
            <w:r w:rsidRPr="00743D67">
              <w:rPr>
                <w:rFonts w:asciiTheme="minorHAnsi" w:hAnsiTheme="minorHAnsi" w:cstheme="minorHAnsi"/>
                <w:b/>
                <w:color w:val="auto"/>
                <w:sz w:val="22"/>
                <w:szCs w:val="22"/>
              </w:rPr>
              <w:t>level</w:t>
            </w:r>
            <w:r>
              <w:rPr>
                <w:rFonts w:asciiTheme="minorHAnsi" w:hAnsiTheme="minorHAnsi" w:cstheme="minorHAnsi"/>
                <w:color w:val="auto"/>
                <w:sz w:val="22"/>
                <w:szCs w:val="22"/>
              </w:rPr>
              <w:t xml:space="preserve"> of s</w:t>
            </w:r>
            <w:r w:rsidR="00AF795B" w:rsidRPr="00EB6CCC">
              <w:rPr>
                <w:rFonts w:asciiTheme="minorHAnsi" w:hAnsiTheme="minorHAnsi" w:cstheme="minorHAnsi"/>
                <w:color w:val="auto"/>
                <w:sz w:val="22"/>
                <w:szCs w:val="22"/>
              </w:rPr>
              <w:t xml:space="preserve">tandards </w:t>
            </w:r>
            <w:r>
              <w:rPr>
                <w:rFonts w:asciiTheme="minorHAnsi" w:hAnsiTheme="minorHAnsi" w:cstheme="minorHAnsi"/>
                <w:color w:val="auto"/>
                <w:sz w:val="22"/>
                <w:szCs w:val="22"/>
              </w:rPr>
              <w:t xml:space="preserve">as outlined in the </w:t>
            </w:r>
            <w:hyperlink r:id="rId11" w:history="1">
              <w:r w:rsidRPr="00C9040E">
                <w:rPr>
                  <w:rStyle w:val="Hyperlink"/>
                  <w:rFonts w:asciiTheme="minorHAnsi" w:hAnsiTheme="minorHAnsi" w:cstheme="minorHAnsi"/>
                  <w:i/>
                  <w:sz w:val="22"/>
                  <w:szCs w:val="22"/>
                  <w:u w:val="single"/>
                </w:rPr>
                <w:t>Standards and Requirements for Post Registration E</w:t>
              </w:r>
              <w:r w:rsidR="00AF795B" w:rsidRPr="00C9040E">
                <w:rPr>
                  <w:rStyle w:val="Hyperlink"/>
                  <w:rFonts w:asciiTheme="minorHAnsi" w:hAnsiTheme="minorHAnsi" w:cstheme="minorHAnsi"/>
                  <w:i/>
                  <w:sz w:val="22"/>
                  <w:szCs w:val="22"/>
                  <w:u w:val="single"/>
                </w:rPr>
                <w:t xml:space="preserve">ducation </w:t>
              </w:r>
              <w:r w:rsidR="00B569D9" w:rsidRPr="00C9040E">
                <w:rPr>
                  <w:rStyle w:val="Hyperlink"/>
                  <w:rFonts w:asciiTheme="minorHAnsi" w:hAnsiTheme="minorHAnsi" w:cstheme="minorHAnsi"/>
                  <w:i/>
                  <w:sz w:val="22"/>
                  <w:szCs w:val="22"/>
                  <w:u w:val="single"/>
                </w:rPr>
                <w:t>Programme</w:t>
              </w:r>
            </w:hyperlink>
            <w:r w:rsidR="00AD6EDC" w:rsidRPr="00EB6CCC">
              <w:rPr>
                <w:rFonts w:asciiTheme="minorHAnsi" w:hAnsiTheme="minorHAnsi" w:cstheme="minorHAnsi"/>
                <w:color w:val="auto"/>
                <w:sz w:val="22"/>
                <w:szCs w:val="22"/>
              </w:rPr>
              <w:t xml:space="preserve"> </w:t>
            </w:r>
          </w:p>
        </w:tc>
        <w:tc>
          <w:tcPr>
            <w:tcW w:w="5401" w:type="dxa"/>
          </w:tcPr>
          <w:p w:rsidR="00156E37" w:rsidRDefault="00156E37" w:rsidP="005D118E">
            <w:pPr>
              <w:rPr>
                <w:rFonts w:cstheme="minorHAnsi"/>
              </w:rPr>
            </w:pPr>
          </w:p>
        </w:tc>
        <w:tc>
          <w:tcPr>
            <w:tcW w:w="3652" w:type="dxa"/>
          </w:tcPr>
          <w:p w:rsidR="00AF795B" w:rsidRPr="009224FD" w:rsidRDefault="00AF795B" w:rsidP="00A414E8">
            <w:pPr>
              <w:pStyle w:val="TableText"/>
              <w:rPr>
                <w:rFonts w:cstheme="minorHAnsi"/>
              </w:rPr>
            </w:pPr>
          </w:p>
        </w:tc>
      </w:tr>
      <w:tr w:rsidR="00AF795B" w:rsidRPr="009224FD" w:rsidTr="00A124B5">
        <w:trPr>
          <w:trHeight w:val="2546"/>
        </w:trPr>
        <w:tc>
          <w:tcPr>
            <w:tcW w:w="4915" w:type="dxa"/>
            <w:tcBorders>
              <w:bottom w:val="single" w:sz="4" w:space="0" w:color="auto"/>
            </w:tcBorders>
          </w:tcPr>
          <w:p w:rsidR="00AF795B" w:rsidRPr="00A414E8" w:rsidRDefault="00B67C07" w:rsidP="00A414E8">
            <w:pPr>
              <w:pStyle w:val="TableText"/>
              <w:rPr>
                <w:rFonts w:asciiTheme="minorHAnsi" w:hAnsiTheme="minorHAnsi" w:cstheme="minorHAnsi"/>
                <w:sz w:val="22"/>
                <w:szCs w:val="22"/>
              </w:rPr>
            </w:pPr>
            <w:r>
              <w:rPr>
                <w:rFonts w:asciiTheme="minorHAnsi" w:hAnsiTheme="minorHAnsi" w:cstheme="minorHAnsi"/>
                <w:sz w:val="22"/>
                <w:szCs w:val="22"/>
              </w:rPr>
              <w:lastRenderedPageBreak/>
              <w:t>Programme</w:t>
            </w:r>
            <w:r w:rsidR="00AF795B" w:rsidRPr="00A414E8">
              <w:rPr>
                <w:rFonts w:asciiTheme="minorHAnsi" w:hAnsiTheme="minorHAnsi" w:cstheme="minorHAnsi"/>
                <w:sz w:val="22"/>
                <w:szCs w:val="22"/>
              </w:rPr>
              <w:t>/units of learning design and development are led by registered nurse tutors or nurse/midwifery lecturers with a teaching qualification and is supported by academic and clinical experts including inter-disciplinary professional as appropriate in collaboration with others and is guided by professional nursing/midwifery knowledge w</w:t>
            </w:r>
            <w:r w:rsidR="00EB6CCC">
              <w:rPr>
                <w:rFonts w:asciiTheme="minorHAnsi" w:hAnsiTheme="minorHAnsi" w:cstheme="minorHAnsi"/>
                <w:sz w:val="22"/>
                <w:szCs w:val="22"/>
              </w:rPr>
              <w:t>hich is evidence/research based</w:t>
            </w:r>
          </w:p>
        </w:tc>
        <w:tc>
          <w:tcPr>
            <w:tcW w:w="5401" w:type="dxa"/>
          </w:tcPr>
          <w:p w:rsidR="00AF795B" w:rsidRDefault="00AF795B" w:rsidP="00A414E8">
            <w:pPr>
              <w:rPr>
                <w:rFonts w:cstheme="minorHAnsi"/>
              </w:rPr>
            </w:pPr>
          </w:p>
        </w:tc>
        <w:tc>
          <w:tcPr>
            <w:tcW w:w="3652" w:type="dxa"/>
            <w:shd w:val="clear" w:color="auto" w:fill="EAFCF3"/>
          </w:tcPr>
          <w:p w:rsidR="00AF795B" w:rsidRPr="009224FD" w:rsidRDefault="00AF795B" w:rsidP="00A414E8">
            <w:pPr>
              <w:pStyle w:val="TableText"/>
              <w:rPr>
                <w:rFonts w:cstheme="minorHAnsi"/>
              </w:rPr>
            </w:pPr>
          </w:p>
        </w:tc>
      </w:tr>
      <w:tr w:rsidR="00743D67" w:rsidRPr="009224FD" w:rsidTr="00B67C07">
        <w:trPr>
          <w:trHeight w:val="1547"/>
        </w:trPr>
        <w:tc>
          <w:tcPr>
            <w:tcW w:w="4915" w:type="dxa"/>
            <w:tcBorders>
              <w:bottom w:val="single" w:sz="4" w:space="0" w:color="auto"/>
            </w:tcBorders>
          </w:tcPr>
          <w:p w:rsidR="00B67C07" w:rsidRPr="00B67C07" w:rsidRDefault="00B67C07" w:rsidP="00B67C07">
            <w:pPr>
              <w:pStyle w:val="TableText"/>
              <w:rPr>
                <w:rFonts w:asciiTheme="minorHAnsi" w:hAnsiTheme="minorHAnsi" w:cstheme="minorHAnsi"/>
                <w:sz w:val="22"/>
                <w:szCs w:val="22"/>
              </w:rPr>
            </w:pPr>
            <w:r w:rsidRPr="00B67C07">
              <w:rPr>
                <w:rFonts w:asciiTheme="minorHAnsi" w:hAnsiTheme="minorHAnsi" w:cstheme="minorHAnsi"/>
                <w:sz w:val="22"/>
                <w:szCs w:val="22"/>
              </w:rPr>
              <w:t xml:space="preserve">Development and delivery of </w:t>
            </w:r>
            <w:r>
              <w:rPr>
                <w:rFonts w:asciiTheme="minorHAnsi" w:hAnsiTheme="minorHAnsi" w:cstheme="minorHAnsi"/>
                <w:sz w:val="22"/>
                <w:szCs w:val="22"/>
              </w:rPr>
              <w:t>the p</w:t>
            </w:r>
            <w:r w:rsidRPr="00B67C07">
              <w:rPr>
                <w:rFonts w:asciiTheme="minorHAnsi" w:hAnsiTheme="minorHAnsi" w:cstheme="minorHAnsi"/>
                <w:sz w:val="22"/>
                <w:szCs w:val="22"/>
              </w:rPr>
              <w:t>rogramme/units of learning are supported by current published evidence for example relevant legislation, policy, strategy documents, literature</w:t>
            </w:r>
          </w:p>
        </w:tc>
        <w:tc>
          <w:tcPr>
            <w:tcW w:w="5401" w:type="dxa"/>
          </w:tcPr>
          <w:p w:rsidR="00743D67" w:rsidRDefault="00743D67" w:rsidP="00A414E8">
            <w:pPr>
              <w:rPr>
                <w:rFonts w:cstheme="minorHAnsi"/>
              </w:rPr>
            </w:pPr>
          </w:p>
        </w:tc>
        <w:tc>
          <w:tcPr>
            <w:tcW w:w="3652" w:type="dxa"/>
            <w:shd w:val="clear" w:color="auto" w:fill="EAFCF3"/>
          </w:tcPr>
          <w:p w:rsidR="00743D67" w:rsidRPr="009224FD" w:rsidRDefault="00743D67" w:rsidP="00A414E8">
            <w:pPr>
              <w:pStyle w:val="TableText"/>
              <w:rPr>
                <w:rFonts w:cstheme="minorHAnsi"/>
              </w:rPr>
            </w:pPr>
          </w:p>
        </w:tc>
      </w:tr>
      <w:tr w:rsidR="00AF795B" w:rsidRPr="009224FD" w:rsidTr="00A124B5">
        <w:trPr>
          <w:trHeight w:val="1695"/>
        </w:trPr>
        <w:tc>
          <w:tcPr>
            <w:tcW w:w="4915" w:type="dxa"/>
            <w:tcBorders>
              <w:bottom w:val="single" w:sz="4" w:space="0" w:color="auto"/>
            </w:tcBorders>
          </w:tcPr>
          <w:p w:rsidR="00AF795B" w:rsidRPr="00DE690A" w:rsidRDefault="00AF795B" w:rsidP="00DE690A">
            <w:pPr>
              <w:pStyle w:val="TableText"/>
              <w:rPr>
                <w:rFonts w:asciiTheme="minorHAnsi" w:hAnsiTheme="minorHAnsi" w:cstheme="minorHAnsi"/>
                <w:sz w:val="22"/>
                <w:szCs w:val="22"/>
              </w:rPr>
            </w:pPr>
            <w:r w:rsidRPr="00A414E8">
              <w:rPr>
                <w:rFonts w:asciiTheme="minorHAnsi" w:hAnsiTheme="minorHAnsi" w:cstheme="minorHAnsi"/>
                <w:sz w:val="22"/>
                <w:szCs w:val="22"/>
              </w:rPr>
              <w:t>The programme/units of learning are strategically planned to demonstrate balanced distribution and integration of theory and practice, logical sequencing and progressive development of subjects and clinical competen</w:t>
            </w:r>
            <w:r w:rsidR="00EB6CCC">
              <w:rPr>
                <w:rFonts w:asciiTheme="minorHAnsi" w:hAnsiTheme="minorHAnsi" w:cstheme="minorHAnsi"/>
                <w:sz w:val="22"/>
                <w:szCs w:val="22"/>
              </w:rPr>
              <w:t>ce over the education programme</w:t>
            </w:r>
          </w:p>
        </w:tc>
        <w:tc>
          <w:tcPr>
            <w:tcW w:w="5401" w:type="dxa"/>
          </w:tcPr>
          <w:p w:rsidR="00AF795B" w:rsidRDefault="00AF795B" w:rsidP="00A414E8">
            <w:pPr>
              <w:rPr>
                <w:rFonts w:cstheme="minorHAnsi"/>
              </w:rPr>
            </w:pPr>
          </w:p>
        </w:tc>
        <w:tc>
          <w:tcPr>
            <w:tcW w:w="3652" w:type="dxa"/>
            <w:shd w:val="clear" w:color="auto" w:fill="EAFCF3"/>
          </w:tcPr>
          <w:p w:rsidR="00AF795B" w:rsidRPr="009224FD" w:rsidRDefault="00AF795B" w:rsidP="00A414E8">
            <w:pPr>
              <w:pStyle w:val="TableText"/>
              <w:rPr>
                <w:rFonts w:cstheme="minorHAnsi"/>
              </w:rPr>
            </w:pPr>
          </w:p>
        </w:tc>
      </w:tr>
      <w:tr w:rsidR="00AF795B" w:rsidRPr="009224FD" w:rsidTr="00A124B5">
        <w:trPr>
          <w:trHeight w:val="2018"/>
        </w:trPr>
        <w:tc>
          <w:tcPr>
            <w:tcW w:w="4915" w:type="dxa"/>
            <w:tcBorders>
              <w:bottom w:val="single" w:sz="4" w:space="0" w:color="auto"/>
            </w:tcBorders>
          </w:tcPr>
          <w:p w:rsidR="00AF795B" w:rsidRPr="00A414E8" w:rsidRDefault="00AF795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t>The programme/units of learning are based on a range of teaching- learning strategies (including e-</w:t>
            </w:r>
            <w:r w:rsidR="00EB6CCC" w:rsidRPr="00A414E8">
              <w:rPr>
                <w:rFonts w:asciiTheme="minorHAnsi" w:hAnsiTheme="minorHAnsi" w:cstheme="minorHAnsi"/>
                <w:sz w:val="22"/>
                <w:szCs w:val="22"/>
              </w:rPr>
              <w:t>learning and</w:t>
            </w:r>
            <w:r w:rsidRPr="00A414E8">
              <w:rPr>
                <w:rFonts w:asciiTheme="minorHAnsi" w:hAnsiTheme="minorHAnsi" w:cstheme="minorHAnsi"/>
                <w:sz w:val="22"/>
                <w:szCs w:val="22"/>
              </w:rPr>
              <w:t xml:space="preserve"> blended learning) to assist the development of a knowledgeable, safe and competent practitioner and to equip her/him with the life-long </w:t>
            </w:r>
            <w:r w:rsidR="00EB6CCC" w:rsidRPr="00A414E8">
              <w:rPr>
                <w:rFonts w:asciiTheme="minorHAnsi" w:hAnsiTheme="minorHAnsi" w:cstheme="minorHAnsi"/>
                <w:sz w:val="22"/>
                <w:szCs w:val="22"/>
              </w:rPr>
              <w:t>skills for</w:t>
            </w:r>
            <w:r w:rsidRPr="00A414E8">
              <w:rPr>
                <w:rFonts w:asciiTheme="minorHAnsi" w:hAnsiTheme="minorHAnsi" w:cstheme="minorHAnsi"/>
                <w:sz w:val="22"/>
                <w:szCs w:val="22"/>
              </w:rPr>
              <w:t xml:space="preserve"> problem-solv</w:t>
            </w:r>
            <w:r w:rsidR="00EB6CCC">
              <w:rPr>
                <w:rFonts w:asciiTheme="minorHAnsi" w:hAnsiTheme="minorHAnsi" w:cstheme="minorHAnsi"/>
                <w:sz w:val="22"/>
                <w:szCs w:val="22"/>
              </w:rPr>
              <w:t>ing and self -directed learning</w:t>
            </w:r>
          </w:p>
        </w:tc>
        <w:tc>
          <w:tcPr>
            <w:tcW w:w="5401" w:type="dxa"/>
          </w:tcPr>
          <w:p w:rsidR="00AF795B" w:rsidRDefault="00AF795B" w:rsidP="00A414E8">
            <w:pPr>
              <w:rPr>
                <w:rFonts w:cstheme="minorHAnsi"/>
              </w:rPr>
            </w:pPr>
          </w:p>
        </w:tc>
        <w:tc>
          <w:tcPr>
            <w:tcW w:w="3652" w:type="dxa"/>
            <w:shd w:val="clear" w:color="auto" w:fill="EAFCF3"/>
          </w:tcPr>
          <w:p w:rsidR="00AF795B" w:rsidRPr="009224FD" w:rsidRDefault="00AF795B" w:rsidP="00A414E8">
            <w:pPr>
              <w:pStyle w:val="TableText"/>
              <w:rPr>
                <w:rFonts w:cstheme="minorHAnsi"/>
              </w:rPr>
            </w:pPr>
          </w:p>
        </w:tc>
      </w:tr>
      <w:tr w:rsidR="00AF795B" w:rsidRPr="009224FD" w:rsidTr="00A124B5">
        <w:trPr>
          <w:trHeight w:val="1565"/>
        </w:trPr>
        <w:tc>
          <w:tcPr>
            <w:tcW w:w="4915" w:type="dxa"/>
            <w:tcBorders>
              <w:bottom w:val="single" w:sz="4" w:space="0" w:color="auto"/>
            </w:tcBorders>
          </w:tcPr>
          <w:p w:rsidR="00AF795B" w:rsidRPr="00DE690A" w:rsidRDefault="00AF795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lastRenderedPageBreak/>
              <w:t xml:space="preserve">The </w:t>
            </w:r>
            <w:r w:rsidR="00B569D9">
              <w:rPr>
                <w:rFonts w:asciiTheme="minorHAnsi" w:hAnsiTheme="minorHAnsi" w:cstheme="minorHAnsi"/>
                <w:sz w:val="22"/>
                <w:szCs w:val="22"/>
              </w:rPr>
              <w:t>programme</w:t>
            </w:r>
            <w:r w:rsidRPr="00A414E8">
              <w:rPr>
                <w:rFonts w:asciiTheme="minorHAnsi" w:hAnsiTheme="minorHAnsi" w:cstheme="minorHAnsi"/>
                <w:sz w:val="22"/>
                <w:szCs w:val="22"/>
              </w:rPr>
              <w:t>/units of learning design reflects various methods of teaching/learning and provides a balanced between lectures, tutorials, workshops, small group interactions, demonstrations, practical work/cl</w:t>
            </w:r>
            <w:r w:rsidR="00EB6CCC">
              <w:rPr>
                <w:rFonts w:asciiTheme="minorHAnsi" w:hAnsiTheme="minorHAnsi" w:cstheme="minorHAnsi"/>
                <w:sz w:val="22"/>
                <w:szCs w:val="22"/>
              </w:rPr>
              <w:t>inical; and self-directed study</w:t>
            </w:r>
          </w:p>
        </w:tc>
        <w:tc>
          <w:tcPr>
            <w:tcW w:w="5401" w:type="dxa"/>
          </w:tcPr>
          <w:p w:rsidR="00AF795B" w:rsidRDefault="00AF795B" w:rsidP="00A414E8">
            <w:pPr>
              <w:rPr>
                <w:rFonts w:cstheme="minorHAnsi"/>
              </w:rPr>
            </w:pPr>
          </w:p>
        </w:tc>
        <w:tc>
          <w:tcPr>
            <w:tcW w:w="3652" w:type="dxa"/>
            <w:shd w:val="clear" w:color="auto" w:fill="EAFCF3"/>
          </w:tcPr>
          <w:p w:rsidR="00AF795B" w:rsidRPr="009224FD" w:rsidRDefault="00AF795B" w:rsidP="00A414E8">
            <w:pPr>
              <w:pStyle w:val="TableText"/>
              <w:rPr>
                <w:rFonts w:cstheme="minorHAnsi"/>
              </w:rPr>
            </w:pPr>
          </w:p>
        </w:tc>
      </w:tr>
      <w:tr w:rsidR="00AF795B" w:rsidRPr="009224FD" w:rsidTr="00A124B5">
        <w:trPr>
          <w:trHeight w:val="982"/>
        </w:trPr>
        <w:tc>
          <w:tcPr>
            <w:tcW w:w="4915" w:type="dxa"/>
            <w:tcBorders>
              <w:bottom w:val="single" w:sz="4" w:space="0" w:color="auto"/>
            </w:tcBorders>
          </w:tcPr>
          <w:p w:rsidR="00AF795B" w:rsidRPr="00DE690A" w:rsidRDefault="00AF795B" w:rsidP="00017662">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The </w:t>
            </w:r>
            <w:r w:rsidR="00B569D9">
              <w:rPr>
                <w:rFonts w:asciiTheme="minorHAnsi" w:hAnsiTheme="minorHAnsi" w:cstheme="minorHAnsi"/>
                <w:sz w:val="22"/>
                <w:szCs w:val="22"/>
              </w:rPr>
              <w:t>programme</w:t>
            </w:r>
            <w:r w:rsidRPr="00A414E8">
              <w:rPr>
                <w:rFonts w:asciiTheme="minorHAnsi" w:hAnsiTheme="minorHAnsi" w:cstheme="minorHAnsi"/>
                <w:sz w:val="22"/>
                <w:szCs w:val="22"/>
              </w:rPr>
              <w:t xml:space="preserve">/units of learning equip the students/participants with an appropriate level of knowledge, research </w:t>
            </w:r>
            <w:r w:rsidR="00EB6CCC">
              <w:rPr>
                <w:rFonts w:asciiTheme="minorHAnsi" w:hAnsiTheme="minorHAnsi" w:cstheme="minorHAnsi"/>
                <w:sz w:val="22"/>
                <w:szCs w:val="22"/>
              </w:rPr>
              <w:t>awareness and critical analysis</w:t>
            </w:r>
          </w:p>
        </w:tc>
        <w:tc>
          <w:tcPr>
            <w:tcW w:w="5401" w:type="dxa"/>
          </w:tcPr>
          <w:p w:rsidR="00AF795B" w:rsidRDefault="00AF795B" w:rsidP="00A414E8">
            <w:pPr>
              <w:rPr>
                <w:rFonts w:cstheme="minorHAnsi"/>
              </w:rPr>
            </w:pPr>
          </w:p>
        </w:tc>
        <w:tc>
          <w:tcPr>
            <w:tcW w:w="3652" w:type="dxa"/>
            <w:shd w:val="clear" w:color="auto" w:fill="EAFCF3"/>
          </w:tcPr>
          <w:p w:rsidR="00AF795B" w:rsidRPr="009224FD" w:rsidRDefault="00AF795B" w:rsidP="00A414E8">
            <w:pPr>
              <w:pStyle w:val="TableText"/>
              <w:rPr>
                <w:rFonts w:cstheme="minorHAnsi"/>
              </w:rPr>
            </w:pPr>
          </w:p>
        </w:tc>
      </w:tr>
      <w:tr w:rsidR="00AF795B" w:rsidRPr="009224FD" w:rsidTr="00A124B5">
        <w:trPr>
          <w:trHeight w:val="698"/>
        </w:trPr>
        <w:tc>
          <w:tcPr>
            <w:tcW w:w="4915" w:type="dxa"/>
            <w:tcBorders>
              <w:bottom w:val="single" w:sz="4" w:space="0" w:color="auto"/>
            </w:tcBorders>
          </w:tcPr>
          <w:p w:rsidR="00AF795B" w:rsidRPr="00DE690A" w:rsidRDefault="00AF795B" w:rsidP="00DE690A">
            <w:pPr>
              <w:pStyle w:val="TableText"/>
              <w:rPr>
                <w:rFonts w:asciiTheme="minorHAnsi" w:hAnsiTheme="minorHAnsi" w:cstheme="minorHAnsi"/>
                <w:sz w:val="22"/>
                <w:szCs w:val="22"/>
              </w:rPr>
            </w:pPr>
            <w:r w:rsidRPr="00A414E8">
              <w:rPr>
                <w:rFonts w:asciiTheme="minorHAnsi" w:hAnsiTheme="minorHAnsi" w:cstheme="minorHAnsi"/>
                <w:sz w:val="22"/>
                <w:szCs w:val="22"/>
              </w:rPr>
              <w:t xml:space="preserve">The awarding body accreditation of </w:t>
            </w:r>
            <w:r w:rsidR="00B569D9">
              <w:rPr>
                <w:rFonts w:asciiTheme="minorHAnsi" w:hAnsiTheme="minorHAnsi" w:cstheme="minorHAnsi"/>
                <w:sz w:val="22"/>
                <w:szCs w:val="22"/>
              </w:rPr>
              <w:t>programme</w:t>
            </w:r>
            <w:r w:rsidRPr="00A414E8">
              <w:rPr>
                <w:rFonts w:asciiTheme="minorHAnsi" w:hAnsiTheme="minorHAnsi" w:cstheme="minorHAnsi"/>
                <w:sz w:val="22"/>
                <w:szCs w:val="22"/>
              </w:rPr>
              <w:t xml:space="preserve">/units of </w:t>
            </w:r>
            <w:r w:rsidR="00EB6CCC">
              <w:rPr>
                <w:rFonts w:asciiTheme="minorHAnsi" w:hAnsiTheme="minorHAnsi" w:cstheme="minorHAnsi"/>
                <w:sz w:val="22"/>
                <w:szCs w:val="22"/>
              </w:rPr>
              <w:t>learning is explicit</w:t>
            </w:r>
          </w:p>
        </w:tc>
        <w:tc>
          <w:tcPr>
            <w:tcW w:w="5401" w:type="dxa"/>
          </w:tcPr>
          <w:p w:rsidR="00AF795B" w:rsidRDefault="00AF795B" w:rsidP="00A414E8">
            <w:pPr>
              <w:rPr>
                <w:rFonts w:cstheme="minorHAnsi"/>
              </w:rPr>
            </w:pPr>
          </w:p>
        </w:tc>
        <w:tc>
          <w:tcPr>
            <w:tcW w:w="3652" w:type="dxa"/>
            <w:shd w:val="clear" w:color="auto" w:fill="EAFCF3"/>
          </w:tcPr>
          <w:p w:rsidR="00AF795B" w:rsidRPr="009224FD" w:rsidRDefault="00AF795B" w:rsidP="00A414E8">
            <w:pPr>
              <w:pStyle w:val="TableText"/>
              <w:rPr>
                <w:rFonts w:cstheme="minorHAnsi"/>
              </w:rPr>
            </w:pPr>
          </w:p>
        </w:tc>
      </w:tr>
      <w:tr w:rsidR="00AF795B" w:rsidRPr="009224FD" w:rsidTr="00A124B5">
        <w:trPr>
          <w:trHeight w:val="692"/>
        </w:trPr>
        <w:tc>
          <w:tcPr>
            <w:tcW w:w="4915" w:type="dxa"/>
            <w:tcBorders>
              <w:bottom w:val="single" w:sz="4" w:space="0" w:color="auto"/>
            </w:tcBorders>
          </w:tcPr>
          <w:p w:rsidR="00AF795B" w:rsidRPr="00DE690A" w:rsidRDefault="00AF795B" w:rsidP="00DE690A">
            <w:pPr>
              <w:pStyle w:val="TableText"/>
              <w:rPr>
                <w:rFonts w:asciiTheme="minorHAnsi" w:hAnsiTheme="minorHAnsi" w:cstheme="minorHAnsi"/>
                <w:sz w:val="22"/>
                <w:szCs w:val="22"/>
              </w:rPr>
            </w:pPr>
            <w:r w:rsidRPr="00A414E8">
              <w:rPr>
                <w:rFonts w:asciiTheme="minorHAnsi" w:hAnsiTheme="minorHAnsi" w:cstheme="minorHAnsi"/>
                <w:sz w:val="22"/>
                <w:szCs w:val="22"/>
              </w:rPr>
              <w:t>Process to facilitate access, transfer and progression are explicit within the programme/unit of</w:t>
            </w:r>
            <w:r w:rsidR="00EB6CCC">
              <w:rPr>
                <w:rFonts w:asciiTheme="minorHAnsi" w:hAnsiTheme="minorHAnsi" w:cstheme="minorHAnsi"/>
                <w:sz w:val="22"/>
                <w:szCs w:val="22"/>
              </w:rPr>
              <w:t xml:space="preserve"> learning</w:t>
            </w:r>
          </w:p>
        </w:tc>
        <w:tc>
          <w:tcPr>
            <w:tcW w:w="5401" w:type="dxa"/>
          </w:tcPr>
          <w:p w:rsidR="00AF795B" w:rsidRDefault="00AF795B" w:rsidP="00A414E8">
            <w:pPr>
              <w:rPr>
                <w:rFonts w:cstheme="minorHAnsi"/>
              </w:rPr>
            </w:pPr>
          </w:p>
        </w:tc>
        <w:tc>
          <w:tcPr>
            <w:tcW w:w="3652" w:type="dxa"/>
            <w:shd w:val="clear" w:color="auto" w:fill="EAFCF3"/>
          </w:tcPr>
          <w:p w:rsidR="00AF795B" w:rsidRPr="009224FD" w:rsidRDefault="00AF795B" w:rsidP="00A414E8">
            <w:pPr>
              <w:pStyle w:val="TableText"/>
              <w:rPr>
                <w:rFonts w:cstheme="minorHAnsi"/>
              </w:rPr>
            </w:pPr>
          </w:p>
        </w:tc>
      </w:tr>
      <w:tr w:rsidR="00A414E8" w:rsidRPr="009224FD" w:rsidTr="00A124B5">
        <w:trPr>
          <w:trHeight w:val="1396"/>
        </w:trPr>
        <w:tc>
          <w:tcPr>
            <w:tcW w:w="4915" w:type="dxa"/>
            <w:tcBorders>
              <w:bottom w:val="single" w:sz="4" w:space="0" w:color="auto"/>
            </w:tcBorders>
            <w:shd w:val="clear" w:color="auto" w:fill="9BBB59" w:themeFill="accent3"/>
          </w:tcPr>
          <w:p w:rsidR="00A414E8" w:rsidRPr="00DF0AD8" w:rsidRDefault="00A414E8" w:rsidP="00A414E8">
            <w:pPr>
              <w:pStyle w:val="TableSubheading"/>
              <w:rPr>
                <w:rFonts w:asciiTheme="minorHAnsi" w:hAnsiTheme="minorHAnsi" w:cstheme="minorHAnsi"/>
                <w:sz w:val="22"/>
                <w:szCs w:val="22"/>
              </w:rPr>
            </w:pPr>
            <w:r w:rsidRPr="00DF0AD8">
              <w:rPr>
                <w:rFonts w:asciiTheme="minorHAnsi" w:hAnsiTheme="minorHAnsi" w:cstheme="minorHAnsi"/>
                <w:sz w:val="22"/>
                <w:szCs w:val="22"/>
              </w:rPr>
              <w:t xml:space="preserve">Clinical Practice/Clinical Competence (if appropriate) </w:t>
            </w:r>
          </w:p>
          <w:p w:rsidR="00A414E8" w:rsidRPr="00A414E8" w:rsidRDefault="00A414E8" w:rsidP="00A414E8">
            <w:pPr>
              <w:pStyle w:val="TableText"/>
              <w:ind w:left="147"/>
              <w:rPr>
                <w:rFonts w:cstheme="minorHAnsi"/>
                <w:sz w:val="22"/>
                <w:szCs w:val="22"/>
              </w:rPr>
            </w:pPr>
          </w:p>
        </w:tc>
        <w:tc>
          <w:tcPr>
            <w:tcW w:w="5401" w:type="dxa"/>
            <w:shd w:val="clear" w:color="auto" w:fill="9BBB59" w:themeFill="accent3"/>
          </w:tcPr>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 xml:space="preserve">Evidence </w:t>
            </w:r>
          </w:p>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(link to relevant pages in the curriculum document)</w:t>
            </w:r>
          </w:p>
          <w:p w:rsidR="00A414E8" w:rsidRDefault="00A414E8" w:rsidP="00A414E8">
            <w:pPr>
              <w:rPr>
                <w:rFonts w:cstheme="minorHAnsi"/>
              </w:rPr>
            </w:pPr>
          </w:p>
        </w:tc>
        <w:tc>
          <w:tcPr>
            <w:tcW w:w="3652" w:type="dxa"/>
            <w:shd w:val="clear" w:color="auto" w:fill="9BBB59" w:themeFill="accent3"/>
          </w:tcPr>
          <w:p w:rsidR="00A414E8" w:rsidRPr="00DF0AD8" w:rsidRDefault="00A414E8" w:rsidP="00DF0AD8">
            <w:pPr>
              <w:pStyle w:val="TableText"/>
              <w:jc w:val="center"/>
              <w:rPr>
                <w:rFonts w:cstheme="minorHAnsi"/>
                <w:sz w:val="22"/>
                <w:szCs w:val="22"/>
              </w:rPr>
            </w:pPr>
            <w:r w:rsidRPr="00DF0AD8">
              <w:rPr>
                <w:rFonts w:asciiTheme="minorHAnsi" w:hAnsiTheme="minorHAnsi" w:cstheme="minorHAnsi"/>
                <w:b/>
                <w:sz w:val="22"/>
                <w:szCs w:val="22"/>
              </w:rPr>
              <w:t>NMBI use only</w:t>
            </w:r>
          </w:p>
        </w:tc>
      </w:tr>
      <w:tr w:rsidR="00A414E8" w:rsidRPr="009224FD" w:rsidTr="00A124B5">
        <w:trPr>
          <w:trHeight w:val="1007"/>
        </w:trPr>
        <w:tc>
          <w:tcPr>
            <w:tcW w:w="4915" w:type="dxa"/>
            <w:tcBorders>
              <w:bottom w:val="single" w:sz="4" w:space="0" w:color="auto"/>
            </w:tcBorders>
          </w:tcPr>
          <w:p w:rsidR="00A414E8" w:rsidRDefault="00A414E8" w:rsidP="00A414E8">
            <w:pPr>
              <w:pStyle w:val="TableText"/>
              <w:rPr>
                <w:rFonts w:asciiTheme="minorHAnsi" w:hAnsiTheme="minorHAnsi" w:cstheme="minorHAnsi"/>
                <w:sz w:val="22"/>
                <w:szCs w:val="22"/>
              </w:rPr>
            </w:pPr>
            <w:r>
              <w:rPr>
                <w:rFonts w:asciiTheme="minorHAnsi" w:hAnsiTheme="minorHAnsi" w:cstheme="minorHAnsi"/>
                <w:sz w:val="22"/>
                <w:szCs w:val="22"/>
              </w:rPr>
              <w:t>Clinical practice experience provides learning opportunities that enable the achievement of competence in clinical nursing/midwifery practice a</w:t>
            </w:r>
            <w:r w:rsidR="00EB6CCC">
              <w:rPr>
                <w:rFonts w:asciiTheme="minorHAnsi" w:hAnsiTheme="minorHAnsi" w:cstheme="minorHAnsi"/>
                <w:sz w:val="22"/>
                <w:szCs w:val="22"/>
              </w:rPr>
              <w:t>nd the stated learning outcomes</w:t>
            </w:r>
          </w:p>
          <w:p w:rsidR="00A414E8" w:rsidRDefault="00A414E8" w:rsidP="00A414E8">
            <w:pPr>
              <w:jc w:val="center"/>
            </w:pPr>
          </w:p>
          <w:p w:rsidR="00DE690A" w:rsidRPr="00D867BB" w:rsidRDefault="00DE690A" w:rsidP="00A414E8">
            <w:pPr>
              <w:jc w:val="center"/>
            </w:pPr>
          </w:p>
        </w:tc>
        <w:tc>
          <w:tcPr>
            <w:tcW w:w="5401" w:type="dxa"/>
          </w:tcPr>
          <w:p w:rsidR="00A414E8" w:rsidRPr="009224FD" w:rsidRDefault="00A414E8" w:rsidP="00A414E8">
            <w:pPr>
              <w:pStyle w:val="TableSubheading"/>
              <w:jc w:val="left"/>
              <w:rPr>
                <w:rFonts w:asciiTheme="minorHAnsi" w:hAnsiTheme="minorHAnsi" w:cstheme="minorHAnsi"/>
              </w:rPr>
            </w:pPr>
          </w:p>
        </w:tc>
        <w:tc>
          <w:tcPr>
            <w:tcW w:w="3652" w:type="dxa"/>
            <w:shd w:val="clear" w:color="auto" w:fill="EAFCF3"/>
          </w:tcPr>
          <w:p w:rsidR="00A414E8" w:rsidRPr="009224FD" w:rsidRDefault="00A414E8" w:rsidP="00A414E8">
            <w:pPr>
              <w:pStyle w:val="TableText"/>
              <w:jc w:val="center"/>
              <w:rPr>
                <w:rFonts w:asciiTheme="minorHAnsi" w:hAnsiTheme="minorHAnsi" w:cstheme="minorHAnsi"/>
                <w:b/>
              </w:rPr>
            </w:pPr>
          </w:p>
        </w:tc>
      </w:tr>
      <w:tr w:rsidR="00A414E8" w:rsidRPr="009224FD" w:rsidTr="00A124B5">
        <w:trPr>
          <w:trHeight w:val="1583"/>
        </w:trPr>
        <w:tc>
          <w:tcPr>
            <w:tcW w:w="4915" w:type="dxa"/>
            <w:tcBorders>
              <w:bottom w:val="single" w:sz="4" w:space="0" w:color="auto"/>
            </w:tcBorders>
          </w:tcPr>
          <w:p w:rsidR="00A414E8" w:rsidRDefault="00A414E8" w:rsidP="00A414E8">
            <w:pPr>
              <w:pStyle w:val="TableText"/>
              <w:rPr>
                <w:rFonts w:asciiTheme="minorHAnsi" w:hAnsiTheme="minorHAnsi" w:cstheme="minorHAnsi"/>
                <w:sz w:val="22"/>
                <w:szCs w:val="22"/>
              </w:rPr>
            </w:pPr>
            <w:r>
              <w:rPr>
                <w:rFonts w:asciiTheme="minorHAnsi" w:hAnsiTheme="minorHAnsi" w:cstheme="minorHAnsi"/>
                <w:sz w:val="22"/>
                <w:szCs w:val="22"/>
              </w:rPr>
              <w:t xml:space="preserve">Clinical placements are based in health care institutions, which are audited/approved by the </w:t>
            </w:r>
            <w:r w:rsidR="00B569D9">
              <w:rPr>
                <w:rFonts w:asciiTheme="minorHAnsi" w:hAnsiTheme="minorHAnsi" w:cstheme="minorHAnsi"/>
                <w:sz w:val="22"/>
                <w:szCs w:val="22"/>
              </w:rPr>
              <w:t>Programme</w:t>
            </w:r>
            <w:r>
              <w:rPr>
                <w:rFonts w:asciiTheme="minorHAnsi" w:hAnsiTheme="minorHAnsi" w:cstheme="minorHAnsi"/>
                <w:sz w:val="22"/>
                <w:szCs w:val="22"/>
              </w:rPr>
              <w:t xml:space="preserve">/Units of Learning </w:t>
            </w:r>
            <w:r w:rsidR="00AD6EDC">
              <w:rPr>
                <w:rFonts w:asciiTheme="minorHAnsi" w:hAnsiTheme="minorHAnsi" w:cstheme="minorHAnsi"/>
                <w:sz w:val="22"/>
                <w:szCs w:val="22"/>
              </w:rPr>
              <w:t xml:space="preserve">team </w:t>
            </w:r>
            <w:r>
              <w:rPr>
                <w:rFonts w:asciiTheme="minorHAnsi" w:hAnsiTheme="minorHAnsi" w:cstheme="minorHAnsi"/>
                <w:sz w:val="22"/>
                <w:szCs w:val="22"/>
              </w:rPr>
              <w:t xml:space="preserve">and satisfy </w:t>
            </w:r>
            <w:hyperlink r:id="rId12" w:history="1">
              <w:r w:rsidRPr="00AD6EDC">
                <w:rPr>
                  <w:rStyle w:val="Hyperlink"/>
                  <w:rFonts w:asciiTheme="minorHAnsi" w:hAnsiTheme="minorHAnsi" w:cstheme="minorHAnsi"/>
                  <w:color w:val="auto"/>
                  <w:sz w:val="22"/>
                  <w:szCs w:val="22"/>
                </w:rPr>
                <w:t>NMBI post registration standards and requirements</w:t>
              </w:r>
            </w:hyperlink>
          </w:p>
          <w:p w:rsidR="00DE690A" w:rsidRDefault="00DE690A" w:rsidP="00A414E8">
            <w:pPr>
              <w:pStyle w:val="TableText"/>
              <w:rPr>
                <w:rFonts w:cstheme="minorHAnsi"/>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562"/>
        </w:trPr>
        <w:tc>
          <w:tcPr>
            <w:tcW w:w="4915" w:type="dxa"/>
            <w:tcBorders>
              <w:bottom w:val="single" w:sz="4" w:space="0" w:color="auto"/>
            </w:tcBorders>
          </w:tcPr>
          <w:p w:rsidR="00A414E8" w:rsidRDefault="004749EC" w:rsidP="00A414E8">
            <w:pPr>
              <w:pStyle w:val="TableText"/>
              <w:rPr>
                <w:rFonts w:asciiTheme="minorHAnsi" w:hAnsiTheme="minorHAnsi" w:cstheme="minorHAnsi"/>
                <w:sz w:val="22"/>
                <w:szCs w:val="22"/>
              </w:rPr>
            </w:pPr>
            <w:r>
              <w:rPr>
                <w:rFonts w:asciiTheme="minorHAnsi" w:hAnsiTheme="minorHAnsi" w:cstheme="minorHAnsi"/>
                <w:sz w:val="22"/>
                <w:szCs w:val="22"/>
              </w:rPr>
              <w:t>The healthcare institution</w:t>
            </w:r>
            <w:r w:rsidR="00A414E8">
              <w:rPr>
                <w:rFonts w:asciiTheme="minorHAnsi" w:hAnsiTheme="minorHAnsi" w:cstheme="minorHAnsi"/>
                <w:sz w:val="22"/>
                <w:szCs w:val="22"/>
              </w:rPr>
              <w:t xml:space="preserve">(s) used for clinical </w:t>
            </w:r>
            <w:r w:rsidR="00A414E8">
              <w:rPr>
                <w:rFonts w:asciiTheme="minorHAnsi" w:hAnsiTheme="minorHAnsi" w:cstheme="minorHAnsi"/>
                <w:sz w:val="22"/>
                <w:szCs w:val="22"/>
              </w:rPr>
              <w:lastRenderedPageBreak/>
              <w:t>placements are required to have in place:</w:t>
            </w:r>
          </w:p>
          <w:p w:rsidR="00A414E8" w:rsidRDefault="00A414E8" w:rsidP="00A414E8">
            <w:pPr>
              <w:pStyle w:val="TableText"/>
              <w:rPr>
                <w:rFonts w:asciiTheme="minorHAnsi" w:hAnsiTheme="minorHAnsi" w:cstheme="minorHAnsi"/>
                <w:sz w:val="22"/>
                <w:szCs w:val="22"/>
              </w:rPr>
            </w:pPr>
            <w:r>
              <w:rPr>
                <w:rFonts w:asciiTheme="minorHAnsi" w:hAnsiTheme="minorHAnsi" w:cstheme="minorHAnsi"/>
                <w:sz w:val="22"/>
                <w:szCs w:val="22"/>
              </w:rPr>
              <w:t>Arrangements for monitoring and improving patient safety</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Evidence based practice guidelines to support appropriate standards of care and for systematic approaches to nursing care.</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Policies that support audit</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Risk Management systems</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Adverse event reporting system</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Policies that support good practice in recording clinical practice</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Policies to address complaints/concerns</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 xml:space="preserve">Mechanisms to support interdisciplinary team working </w:t>
            </w:r>
          </w:p>
          <w:p w:rsidR="00A414E8" w:rsidRPr="00DE690A" w:rsidRDefault="00A414E8" w:rsidP="00DE690A">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A structure within which concerns around clinical practice are raised  and addressed</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 xml:space="preserve">Mechanisms to involve service users in the development and review of healthcare provision; and </w:t>
            </w:r>
          </w:p>
          <w:p w:rsidR="00A414E8" w:rsidRDefault="00A414E8" w:rsidP="00A414E8">
            <w:pPr>
              <w:pStyle w:val="TableText"/>
              <w:numPr>
                <w:ilvl w:val="0"/>
                <w:numId w:val="7"/>
              </w:numPr>
              <w:rPr>
                <w:rFonts w:asciiTheme="minorHAnsi" w:hAnsiTheme="minorHAnsi" w:cstheme="minorHAnsi"/>
                <w:sz w:val="22"/>
                <w:szCs w:val="22"/>
              </w:rPr>
            </w:pPr>
            <w:r>
              <w:rPr>
                <w:rFonts w:asciiTheme="minorHAnsi" w:hAnsiTheme="minorHAnsi" w:cstheme="minorHAnsi"/>
                <w:sz w:val="22"/>
                <w:szCs w:val="22"/>
              </w:rPr>
              <w:t>Evidence of clinical and educational audit for each placement site used in education and training of registrants</w:t>
            </w:r>
          </w:p>
          <w:p w:rsidR="00A414E8" w:rsidRDefault="00A414E8" w:rsidP="00A414E8">
            <w:pPr>
              <w:pStyle w:val="TableText"/>
              <w:rPr>
                <w:rFonts w:asciiTheme="minorHAnsi" w:hAnsiTheme="minorHAnsi" w:cstheme="minorHAnsi"/>
                <w:sz w:val="22"/>
                <w:szCs w:val="22"/>
              </w:rPr>
            </w:pPr>
          </w:p>
          <w:p w:rsidR="00A414E8" w:rsidRPr="00DE690A" w:rsidRDefault="00A414E8" w:rsidP="00DE690A">
            <w:pPr>
              <w:pStyle w:val="TableText"/>
              <w:rPr>
                <w:rFonts w:asciiTheme="minorHAnsi" w:hAnsiTheme="minorHAnsi" w:cstheme="minorHAnsi"/>
                <w:sz w:val="22"/>
                <w:szCs w:val="22"/>
              </w:rPr>
            </w:pPr>
            <w:r>
              <w:rPr>
                <w:rFonts w:asciiTheme="minorHAnsi" w:hAnsiTheme="minorHAnsi" w:cstheme="minorHAnsi"/>
                <w:sz w:val="22"/>
                <w:szCs w:val="22"/>
              </w:rPr>
              <w:t>The selection of areas for clinical practice experience reflects the scope of the health care settings and supports the achievement of the learning outcomes of the post-registration educati</w:t>
            </w:r>
            <w:r w:rsidR="00EB6CCC">
              <w:rPr>
                <w:rFonts w:asciiTheme="minorHAnsi" w:hAnsiTheme="minorHAnsi" w:cstheme="minorHAnsi"/>
                <w:sz w:val="22"/>
                <w:szCs w:val="22"/>
              </w:rPr>
              <w:t xml:space="preserve">on </w:t>
            </w:r>
            <w:r w:rsidR="00B569D9">
              <w:rPr>
                <w:rFonts w:asciiTheme="minorHAnsi" w:hAnsiTheme="minorHAnsi" w:cstheme="minorHAnsi"/>
                <w:sz w:val="22"/>
                <w:szCs w:val="22"/>
              </w:rPr>
              <w:t>programme</w:t>
            </w:r>
            <w:r w:rsidR="00EB6CCC">
              <w:rPr>
                <w:rFonts w:asciiTheme="minorHAnsi" w:hAnsiTheme="minorHAnsi" w:cstheme="minorHAnsi"/>
                <w:sz w:val="22"/>
                <w:szCs w:val="22"/>
              </w:rPr>
              <w:t>/units of learning</w:t>
            </w:r>
            <w:r>
              <w:rPr>
                <w:rFonts w:asciiTheme="minorHAnsi" w:hAnsiTheme="minorHAnsi" w:cstheme="minorHAnsi"/>
                <w:sz w:val="22"/>
                <w:szCs w:val="22"/>
              </w:rPr>
              <w:t xml:space="preserve">  </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982"/>
        </w:trPr>
        <w:tc>
          <w:tcPr>
            <w:tcW w:w="4915" w:type="dxa"/>
            <w:tcBorders>
              <w:bottom w:val="single" w:sz="4" w:space="0" w:color="auto"/>
            </w:tcBorders>
          </w:tcPr>
          <w:p w:rsidR="00A414E8" w:rsidRPr="00DE690A" w:rsidRDefault="00A414E8" w:rsidP="00DE690A">
            <w:pPr>
              <w:pStyle w:val="TableText"/>
              <w:rPr>
                <w:rFonts w:asciiTheme="minorHAnsi" w:hAnsiTheme="minorHAnsi" w:cstheme="minorHAnsi"/>
                <w:sz w:val="22"/>
                <w:szCs w:val="22"/>
              </w:rPr>
            </w:pPr>
            <w:r>
              <w:rPr>
                <w:rFonts w:asciiTheme="minorHAnsi" w:hAnsiTheme="minorHAnsi" w:cstheme="minorHAnsi"/>
                <w:sz w:val="22"/>
                <w:szCs w:val="22"/>
              </w:rPr>
              <w:lastRenderedPageBreak/>
              <w:t xml:space="preserve">Post-registration learner allocation to clinical placements is based on the need to integrate theory and practice and to facilitate the progressive development of clinical skills, competence, quality </w:t>
            </w:r>
            <w:r w:rsidR="00EB6CCC">
              <w:rPr>
                <w:rFonts w:asciiTheme="minorHAnsi" w:hAnsiTheme="minorHAnsi" w:cstheme="minorHAnsi"/>
                <w:sz w:val="22"/>
                <w:szCs w:val="22"/>
              </w:rPr>
              <w:t>patient care and patient safety</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627"/>
        </w:trPr>
        <w:tc>
          <w:tcPr>
            <w:tcW w:w="4915" w:type="dxa"/>
            <w:tcBorders>
              <w:bottom w:val="single" w:sz="4" w:space="0" w:color="auto"/>
            </w:tcBorders>
          </w:tcPr>
          <w:p w:rsidR="00A414E8" w:rsidRPr="00DE690A" w:rsidRDefault="00A414E8" w:rsidP="00DE690A">
            <w:pPr>
              <w:pStyle w:val="TableText"/>
              <w:rPr>
                <w:rFonts w:asciiTheme="minorHAnsi" w:hAnsiTheme="minorHAnsi" w:cstheme="minorHAnsi"/>
                <w:sz w:val="22"/>
                <w:szCs w:val="22"/>
              </w:rPr>
            </w:pPr>
            <w:r>
              <w:rPr>
                <w:rFonts w:asciiTheme="minorHAnsi" w:hAnsiTheme="minorHAnsi" w:cstheme="minorHAnsi"/>
                <w:sz w:val="22"/>
                <w:szCs w:val="22"/>
              </w:rPr>
              <w:t>Clearly written learning outcomes/objectives appropriate to the clinical area are developed and are available to ensure optimal use of valuable clinical experience.  These learning outcomes/o</w:t>
            </w:r>
            <w:r w:rsidR="00EB6CCC">
              <w:rPr>
                <w:rFonts w:asciiTheme="minorHAnsi" w:hAnsiTheme="minorHAnsi" w:cstheme="minorHAnsi"/>
                <w:sz w:val="22"/>
                <w:szCs w:val="22"/>
              </w:rPr>
              <w:t>bjectives are revised necessary</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270"/>
        </w:trPr>
        <w:tc>
          <w:tcPr>
            <w:tcW w:w="4915" w:type="dxa"/>
            <w:tcBorders>
              <w:bottom w:val="single" w:sz="4" w:space="0" w:color="auto"/>
            </w:tcBorders>
          </w:tcPr>
          <w:p w:rsidR="00A414E8" w:rsidRPr="00DE690A" w:rsidRDefault="00A414E8" w:rsidP="00DE690A">
            <w:pPr>
              <w:pStyle w:val="TableText"/>
              <w:rPr>
                <w:rFonts w:asciiTheme="minorHAnsi" w:hAnsiTheme="minorHAnsi" w:cstheme="minorHAnsi"/>
                <w:sz w:val="22"/>
                <w:szCs w:val="22"/>
              </w:rPr>
            </w:pPr>
            <w:r>
              <w:rPr>
                <w:rFonts w:asciiTheme="minorHAnsi" w:hAnsiTheme="minorHAnsi" w:cstheme="minorHAnsi"/>
                <w:sz w:val="22"/>
                <w:szCs w:val="22"/>
              </w:rPr>
              <w:t>Post-registration learners and all those involved in meeting their learning needs are fully acquainted with the expected learning outcomes rel</w:t>
            </w:r>
            <w:r w:rsidR="00EB6CCC">
              <w:rPr>
                <w:rFonts w:asciiTheme="minorHAnsi" w:hAnsiTheme="minorHAnsi" w:cstheme="minorHAnsi"/>
                <w:sz w:val="22"/>
                <w:szCs w:val="22"/>
              </w:rPr>
              <w:t>ated to that clinical placement</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C9040E">
        <w:trPr>
          <w:trHeight w:val="96"/>
        </w:trPr>
        <w:tc>
          <w:tcPr>
            <w:tcW w:w="4915" w:type="dxa"/>
            <w:tcBorders>
              <w:bottom w:val="single" w:sz="4" w:space="0" w:color="auto"/>
            </w:tcBorders>
          </w:tcPr>
          <w:p w:rsidR="00A414E8" w:rsidRDefault="00A414E8" w:rsidP="00DE690A">
            <w:pPr>
              <w:pStyle w:val="TableText"/>
              <w:rPr>
                <w:rFonts w:asciiTheme="minorHAnsi" w:hAnsiTheme="minorHAnsi" w:cstheme="minorHAnsi"/>
                <w:sz w:val="22"/>
                <w:szCs w:val="22"/>
              </w:rPr>
            </w:pPr>
            <w:r>
              <w:rPr>
                <w:rFonts w:asciiTheme="minorHAnsi" w:hAnsiTheme="minorHAnsi" w:cstheme="minorHAnsi"/>
                <w:sz w:val="22"/>
                <w:szCs w:val="22"/>
              </w:rPr>
              <w:t>Lecturers and nurse/midwifery tutors, in liaison with the appropriate clinical staff (clinical facilitators, preceptors, clinical managers and practice development co-ordinators)guide and support the learners in ensuring that the clinical placement provides an optim</w:t>
            </w:r>
            <w:r w:rsidR="00EB6CCC">
              <w:rPr>
                <w:rFonts w:asciiTheme="minorHAnsi" w:hAnsiTheme="minorHAnsi" w:cstheme="minorHAnsi"/>
                <w:sz w:val="22"/>
                <w:szCs w:val="22"/>
              </w:rPr>
              <w:t>um quality learning environment</w:t>
            </w:r>
          </w:p>
          <w:p w:rsidR="004749EC" w:rsidRDefault="004749EC" w:rsidP="00EB6CCC">
            <w:pPr>
              <w:pStyle w:val="TableText"/>
              <w:ind w:left="0"/>
              <w:rPr>
                <w:rFonts w:asciiTheme="minorHAnsi" w:hAnsiTheme="minorHAnsi" w:cstheme="minorHAnsi"/>
                <w:sz w:val="22"/>
                <w:szCs w:val="22"/>
              </w:rPr>
            </w:pPr>
          </w:p>
          <w:p w:rsidR="00EB6CCC" w:rsidRDefault="00EB6CCC" w:rsidP="00EB6CCC">
            <w:pPr>
              <w:pStyle w:val="TableText"/>
              <w:ind w:left="0"/>
              <w:rPr>
                <w:rFonts w:asciiTheme="minorHAnsi" w:hAnsiTheme="minorHAnsi" w:cstheme="minorHAnsi"/>
                <w:sz w:val="22"/>
                <w:szCs w:val="22"/>
              </w:rPr>
            </w:pPr>
          </w:p>
          <w:p w:rsidR="00EB6CCC" w:rsidRDefault="00EB6CCC" w:rsidP="00EB6CCC">
            <w:pPr>
              <w:pStyle w:val="TableText"/>
              <w:ind w:left="0"/>
              <w:rPr>
                <w:rFonts w:asciiTheme="minorHAnsi" w:hAnsiTheme="minorHAnsi" w:cstheme="minorHAnsi"/>
                <w:sz w:val="22"/>
                <w:szCs w:val="22"/>
              </w:rPr>
            </w:pPr>
          </w:p>
          <w:p w:rsidR="00B57D00" w:rsidRDefault="00B57D00" w:rsidP="00EB6CCC">
            <w:pPr>
              <w:pStyle w:val="TableText"/>
              <w:ind w:left="0"/>
              <w:rPr>
                <w:rFonts w:asciiTheme="minorHAnsi" w:hAnsiTheme="minorHAnsi" w:cstheme="minorHAnsi"/>
                <w:sz w:val="22"/>
                <w:szCs w:val="22"/>
              </w:rPr>
            </w:pPr>
          </w:p>
          <w:p w:rsidR="00B57D00" w:rsidRDefault="00B57D00" w:rsidP="00EB6CCC">
            <w:pPr>
              <w:pStyle w:val="TableText"/>
              <w:ind w:left="0"/>
              <w:rPr>
                <w:rFonts w:asciiTheme="minorHAnsi" w:hAnsiTheme="minorHAnsi" w:cstheme="minorHAnsi"/>
                <w:sz w:val="22"/>
                <w:szCs w:val="22"/>
              </w:rPr>
            </w:pPr>
          </w:p>
          <w:p w:rsidR="00B57D00" w:rsidRDefault="00B57D00" w:rsidP="00EB6CCC">
            <w:pPr>
              <w:pStyle w:val="TableText"/>
              <w:ind w:left="0"/>
              <w:rPr>
                <w:rFonts w:asciiTheme="minorHAnsi" w:hAnsiTheme="minorHAnsi" w:cstheme="minorHAnsi"/>
                <w:sz w:val="22"/>
                <w:szCs w:val="22"/>
              </w:rPr>
            </w:pPr>
          </w:p>
          <w:p w:rsidR="00B57D00" w:rsidRDefault="00B57D00" w:rsidP="00EB6CCC">
            <w:pPr>
              <w:pStyle w:val="TableText"/>
              <w:ind w:left="0"/>
              <w:rPr>
                <w:rFonts w:asciiTheme="minorHAnsi" w:hAnsiTheme="minorHAnsi" w:cstheme="minorHAnsi"/>
                <w:sz w:val="22"/>
                <w:szCs w:val="22"/>
              </w:rPr>
            </w:pPr>
          </w:p>
          <w:p w:rsidR="00B57D00" w:rsidRDefault="00B57D00" w:rsidP="00EB6CCC">
            <w:pPr>
              <w:pStyle w:val="TableText"/>
              <w:ind w:left="0"/>
              <w:rPr>
                <w:rFonts w:asciiTheme="minorHAnsi" w:hAnsiTheme="minorHAnsi" w:cstheme="minorHAnsi"/>
                <w:sz w:val="22"/>
                <w:szCs w:val="22"/>
              </w:rPr>
            </w:pPr>
          </w:p>
          <w:p w:rsidR="00B57D00" w:rsidRPr="00DE690A" w:rsidRDefault="00B57D00" w:rsidP="00EB6CCC">
            <w:pPr>
              <w:pStyle w:val="TableText"/>
              <w:ind w:left="0"/>
              <w:rPr>
                <w:rFonts w:asciiTheme="minorHAnsi" w:hAnsiTheme="minorHAnsi" w:cstheme="minorHAnsi"/>
                <w:sz w:val="22"/>
                <w:szCs w:val="22"/>
              </w:rPr>
            </w:pPr>
          </w:p>
        </w:tc>
        <w:tc>
          <w:tcPr>
            <w:tcW w:w="5401" w:type="dxa"/>
          </w:tcPr>
          <w:p w:rsidR="00A414E8" w:rsidRDefault="00A414E8" w:rsidP="00A414E8">
            <w:pPr>
              <w:rPr>
                <w:rFonts w:cstheme="minorHAnsi"/>
              </w:rPr>
            </w:pPr>
          </w:p>
          <w:p w:rsidR="00DE690A" w:rsidRDefault="00DE690A" w:rsidP="00A414E8">
            <w:pPr>
              <w:rPr>
                <w:rFonts w:cstheme="minorHAnsi"/>
              </w:rPr>
            </w:pPr>
          </w:p>
          <w:p w:rsidR="00DE690A" w:rsidRDefault="00DE690A" w:rsidP="00A414E8">
            <w:pPr>
              <w:rPr>
                <w:rFonts w:cstheme="minorHAnsi"/>
              </w:rPr>
            </w:pPr>
          </w:p>
          <w:p w:rsidR="00DE690A" w:rsidRDefault="00DE690A" w:rsidP="00A414E8">
            <w:pPr>
              <w:rPr>
                <w:rFonts w:cstheme="minorHAnsi"/>
              </w:rPr>
            </w:pPr>
          </w:p>
          <w:p w:rsidR="00DE690A" w:rsidRDefault="00DE690A" w:rsidP="00A414E8">
            <w:pPr>
              <w:rPr>
                <w:rFonts w:cstheme="minorHAnsi"/>
              </w:rPr>
            </w:pPr>
          </w:p>
          <w:p w:rsidR="00DE690A" w:rsidRDefault="00DE690A"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236"/>
        </w:trPr>
        <w:tc>
          <w:tcPr>
            <w:tcW w:w="4915" w:type="dxa"/>
            <w:tcBorders>
              <w:bottom w:val="single" w:sz="4" w:space="0" w:color="auto"/>
            </w:tcBorders>
            <w:shd w:val="clear" w:color="auto" w:fill="9BBB59" w:themeFill="accent3"/>
          </w:tcPr>
          <w:p w:rsidR="00A414E8" w:rsidRPr="009D3101" w:rsidRDefault="00A414E8" w:rsidP="00DF0AD8">
            <w:pPr>
              <w:pStyle w:val="TableText"/>
              <w:jc w:val="center"/>
              <w:rPr>
                <w:rFonts w:asciiTheme="minorHAnsi" w:hAnsiTheme="minorHAnsi" w:cstheme="minorHAnsi"/>
                <w:b/>
                <w:sz w:val="22"/>
                <w:szCs w:val="22"/>
              </w:rPr>
            </w:pPr>
            <w:r w:rsidRPr="009D3101">
              <w:rPr>
                <w:rFonts w:asciiTheme="minorHAnsi" w:hAnsiTheme="minorHAnsi" w:cstheme="minorHAnsi"/>
                <w:b/>
                <w:sz w:val="22"/>
                <w:szCs w:val="22"/>
              </w:rPr>
              <w:lastRenderedPageBreak/>
              <w:t>Assessment Process</w:t>
            </w:r>
          </w:p>
          <w:p w:rsidR="004749EC" w:rsidRPr="00EB6CCC" w:rsidRDefault="004749EC" w:rsidP="004749EC">
            <w:pPr>
              <w:pStyle w:val="TableText"/>
              <w:rPr>
                <w:rFonts w:asciiTheme="minorHAnsi" w:hAnsiTheme="minorHAnsi" w:cstheme="minorHAnsi"/>
              </w:rPr>
            </w:pPr>
            <w:r w:rsidRPr="00EB6CCC">
              <w:rPr>
                <w:rFonts w:asciiTheme="minorHAnsi" w:hAnsiTheme="minorHAnsi" w:cstheme="minorHAnsi"/>
              </w:rPr>
              <w:t>The Assessment of learning is a continuous process.  Assessment should be balanced and integrated throughout the post –registration nursing and midwifery educatio</w:t>
            </w:r>
            <w:r w:rsidR="00EB6CCC">
              <w:rPr>
                <w:rFonts w:asciiTheme="minorHAnsi" w:hAnsiTheme="minorHAnsi" w:cstheme="minorHAnsi"/>
              </w:rPr>
              <w:t xml:space="preserve">n </w:t>
            </w:r>
            <w:r w:rsidR="00B569D9">
              <w:rPr>
                <w:rFonts w:asciiTheme="minorHAnsi" w:hAnsiTheme="minorHAnsi" w:cstheme="minorHAnsi"/>
              </w:rPr>
              <w:t>programme</w:t>
            </w:r>
            <w:r w:rsidR="00EB6CCC">
              <w:rPr>
                <w:rFonts w:asciiTheme="minorHAnsi" w:hAnsiTheme="minorHAnsi" w:cstheme="minorHAnsi"/>
              </w:rPr>
              <w:t xml:space="preserve"> /units of learning</w:t>
            </w:r>
          </w:p>
          <w:p w:rsidR="00A414E8" w:rsidRDefault="00A414E8" w:rsidP="00A414E8">
            <w:pPr>
              <w:pStyle w:val="TableText"/>
              <w:rPr>
                <w:rFonts w:cstheme="minorHAnsi"/>
                <w:sz w:val="22"/>
                <w:szCs w:val="22"/>
              </w:rPr>
            </w:pPr>
          </w:p>
        </w:tc>
        <w:tc>
          <w:tcPr>
            <w:tcW w:w="5401" w:type="dxa"/>
            <w:shd w:val="clear" w:color="auto" w:fill="9BBB59" w:themeFill="accent3"/>
          </w:tcPr>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 xml:space="preserve">Evidence </w:t>
            </w:r>
          </w:p>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(link to relevant pages in the curriculum document)</w:t>
            </w:r>
          </w:p>
          <w:p w:rsidR="00A414E8" w:rsidRPr="00DF0AD8" w:rsidRDefault="00A414E8" w:rsidP="00A414E8">
            <w:pPr>
              <w:rPr>
                <w:rFonts w:cstheme="minorHAnsi"/>
                <w:sz w:val="22"/>
                <w:szCs w:val="22"/>
              </w:rPr>
            </w:pPr>
          </w:p>
        </w:tc>
        <w:tc>
          <w:tcPr>
            <w:tcW w:w="3652" w:type="dxa"/>
            <w:shd w:val="clear" w:color="auto" w:fill="9BBB59" w:themeFill="accent3"/>
          </w:tcPr>
          <w:p w:rsidR="00A414E8" w:rsidRPr="00DF0AD8" w:rsidRDefault="00A414E8" w:rsidP="00A414E8">
            <w:pPr>
              <w:pStyle w:val="TableText"/>
              <w:rPr>
                <w:rFonts w:cstheme="minorHAnsi"/>
                <w:sz w:val="22"/>
                <w:szCs w:val="22"/>
              </w:rPr>
            </w:pPr>
            <w:r w:rsidRPr="00DF0AD8">
              <w:rPr>
                <w:rFonts w:asciiTheme="minorHAnsi" w:hAnsiTheme="minorHAnsi" w:cstheme="minorHAnsi"/>
                <w:b/>
                <w:sz w:val="22"/>
                <w:szCs w:val="22"/>
              </w:rPr>
              <w:t>NMBI use only</w:t>
            </w:r>
          </w:p>
        </w:tc>
      </w:tr>
      <w:tr w:rsidR="00A414E8" w:rsidRPr="009224FD" w:rsidTr="00A124B5">
        <w:trPr>
          <w:trHeight w:val="1407"/>
        </w:trPr>
        <w:tc>
          <w:tcPr>
            <w:tcW w:w="4915" w:type="dxa"/>
            <w:tcBorders>
              <w:bottom w:val="single" w:sz="4" w:space="0" w:color="auto"/>
            </w:tcBorders>
          </w:tcPr>
          <w:p w:rsidR="00A414E8" w:rsidRPr="00EB6CCC" w:rsidRDefault="00A414E8" w:rsidP="00A414E8">
            <w:pPr>
              <w:pStyle w:val="TableText"/>
              <w:rPr>
                <w:rFonts w:asciiTheme="minorHAnsi" w:hAnsiTheme="minorHAnsi" w:cstheme="minorHAnsi"/>
                <w:color w:val="auto"/>
                <w:sz w:val="22"/>
                <w:szCs w:val="22"/>
              </w:rPr>
            </w:pPr>
            <w:r w:rsidRPr="00EB6CCC">
              <w:rPr>
                <w:rFonts w:asciiTheme="minorHAnsi" w:hAnsiTheme="minorHAnsi" w:cstheme="minorHAnsi"/>
                <w:color w:val="auto"/>
                <w:sz w:val="22"/>
                <w:szCs w:val="22"/>
              </w:rPr>
              <w:t>Students are provided with information pertaining to the assessment process, progression rules and requirements, at the beginning of the programme</w:t>
            </w:r>
          </w:p>
          <w:p w:rsidR="00A414E8" w:rsidRPr="00EB6CCC" w:rsidRDefault="00A414E8" w:rsidP="00A414E8">
            <w:pPr>
              <w:pStyle w:val="TableText"/>
              <w:rPr>
                <w:rFonts w:cstheme="minorHAnsi"/>
                <w:color w:val="auto"/>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262"/>
        </w:trPr>
        <w:tc>
          <w:tcPr>
            <w:tcW w:w="4915" w:type="dxa"/>
            <w:tcBorders>
              <w:bottom w:val="single" w:sz="4" w:space="0" w:color="auto"/>
            </w:tcBorders>
          </w:tcPr>
          <w:p w:rsidR="00A414E8" w:rsidRPr="00EB6CCC" w:rsidRDefault="00A414E8" w:rsidP="00A414E8">
            <w:pPr>
              <w:pStyle w:val="TableText"/>
              <w:rPr>
                <w:rFonts w:asciiTheme="minorHAnsi" w:hAnsiTheme="minorHAnsi" w:cstheme="minorHAnsi"/>
                <w:color w:val="auto"/>
                <w:sz w:val="22"/>
                <w:szCs w:val="22"/>
              </w:rPr>
            </w:pPr>
            <w:r w:rsidRPr="00EB6CCC">
              <w:rPr>
                <w:rFonts w:asciiTheme="minorHAnsi" w:hAnsiTheme="minorHAnsi" w:cstheme="minorHAnsi"/>
                <w:color w:val="auto"/>
                <w:sz w:val="22"/>
                <w:szCs w:val="22"/>
              </w:rPr>
              <w:t>The level, number, variety, and context of assessments are consistent with achieving the stated learning outcomes</w:t>
            </w:r>
          </w:p>
          <w:p w:rsidR="00A414E8" w:rsidRPr="00EB6CCC" w:rsidRDefault="00A414E8" w:rsidP="00A414E8">
            <w:pPr>
              <w:pStyle w:val="TableText"/>
              <w:rPr>
                <w:rFonts w:cstheme="minorHAnsi"/>
                <w:color w:val="auto"/>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398"/>
        </w:trPr>
        <w:tc>
          <w:tcPr>
            <w:tcW w:w="4915" w:type="dxa"/>
            <w:tcBorders>
              <w:bottom w:val="single" w:sz="4" w:space="0" w:color="auto"/>
            </w:tcBorders>
          </w:tcPr>
          <w:p w:rsidR="00A414E8" w:rsidRPr="00EB6CCC" w:rsidRDefault="00A414E8" w:rsidP="00A414E8">
            <w:pPr>
              <w:pStyle w:val="TableText"/>
              <w:rPr>
                <w:rFonts w:asciiTheme="minorHAnsi" w:hAnsiTheme="minorHAnsi" w:cstheme="minorHAnsi"/>
                <w:color w:val="auto"/>
                <w:sz w:val="22"/>
                <w:szCs w:val="22"/>
              </w:rPr>
            </w:pPr>
            <w:r w:rsidRPr="00EB6CCC">
              <w:rPr>
                <w:rFonts w:asciiTheme="minorHAnsi" w:hAnsiTheme="minorHAnsi" w:cstheme="minorHAnsi"/>
                <w:color w:val="auto"/>
                <w:sz w:val="22"/>
                <w:szCs w:val="22"/>
              </w:rPr>
              <w:t>Both formative and summative assessments exist across the programme to enhance individual and group learning</w:t>
            </w:r>
            <w:r w:rsidR="00EB6CCC">
              <w:rPr>
                <w:rFonts w:asciiTheme="minorHAnsi" w:hAnsiTheme="minorHAnsi" w:cstheme="minorHAnsi"/>
                <w:color w:val="auto"/>
                <w:sz w:val="22"/>
                <w:szCs w:val="22"/>
              </w:rPr>
              <w:t xml:space="preserve"> and inform student progression</w:t>
            </w:r>
          </w:p>
          <w:p w:rsidR="00A414E8" w:rsidRPr="00EB6CCC" w:rsidRDefault="00A414E8" w:rsidP="00A414E8">
            <w:pPr>
              <w:pStyle w:val="TableText"/>
              <w:rPr>
                <w:rFonts w:cstheme="minorHAnsi"/>
                <w:color w:val="auto"/>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106"/>
        </w:trPr>
        <w:tc>
          <w:tcPr>
            <w:tcW w:w="4915" w:type="dxa"/>
            <w:tcBorders>
              <w:bottom w:val="single" w:sz="4" w:space="0" w:color="auto"/>
            </w:tcBorders>
          </w:tcPr>
          <w:p w:rsidR="00A414E8" w:rsidRPr="00EB6CCC" w:rsidRDefault="00A414E8" w:rsidP="00A414E8">
            <w:pPr>
              <w:pStyle w:val="TableText"/>
              <w:rPr>
                <w:rFonts w:asciiTheme="minorHAnsi" w:hAnsiTheme="minorHAnsi" w:cstheme="minorHAnsi"/>
                <w:color w:val="auto"/>
                <w:sz w:val="22"/>
                <w:szCs w:val="22"/>
              </w:rPr>
            </w:pPr>
            <w:r w:rsidRPr="00EB6CCC">
              <w:rPr>
                <w:rFonts w:asciiTheme="minorHAnsi" w:hAnsiTheme="minorHAnsi" w:cstheme="minorHAnsi"/>
                <w:color w:val="auto"/>
                <w:sz w:val="22"/>
                <w:szCs w:val="22"/>
              </w:rPr>
              <w:t>Evidence of collaboration between education provider and health care provider involved in clinical competence assessment in terms of selecting, implementing, and evaluating assessment methods</w:t>
            </w:r>
          </w:p>
          <w:p w:rsidR="00A414E8" w:rsidRPr="00EB6CCC" w:rsidRDefault="00A414E8" w:rsidP="00A414E8">
            <w:pPr>
              <w:pStyle w:val="TableText"/>
              <w:rPr>
                <w:rFonts w:cstheme="minorHAnsi"/>
                <w:color w:val="auto"/>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DE690A" w:rsidRPr="009224FD" w:rsidTr="00A124B5">
        <w:trPr>
          <w:trHeight w:val="1421"/>
        </w:trPr>
        <w:tc>
          <w:tcPr>
            <w:tcW w:w="4915" w:type="dxa"/>
            <w:tcBorders>
              <w:bottom w:val="single" w:sz="4" w:space="0" w:color="auto"/>
            </w:tcBorders>
          </w:tcPr>
          <w:p w:rsidR="00DE690A" w:rsidRPr="00EB6CCC" w:rsidRDefault="00DE690A" w:rsidP="004749EC">
            <w:pPr>
              <w:pStyle w:val="TableText"/>
              <w:rPr>
                <w:rFonts w:asciiTheme="minorHAnsi" w:hAnsiTheme="minorHAnsi" w:cstheme="minorHAnsi"/>
                <w:color w:val="auto"/>
                <w:sz w:val="22"/>
                <w:szCs w:val="22"/>
              </w:rPr>
            </w:pPr>
            <w:r w:rsidRPr="00EB6CCC">
              <w:rPr>
                <w:rFonts w:asciiTheme="minorHAnsi" w:hAnsiTheme="minorHAnsi" w:cstheme="minorHAnsi"/>
                <w:color w:val="auto"/>
                <w:sz w:val="22"/>
                <w:szCs w:val="22"/>
              </w:rPr>
              <w:t>A range of assessment instruments (validated where possible</w:t>
            </w:r>
            <w:r w:rsidR="00CD1A8D" w:rsidRPr="00EB6CCC">
              <w:rPr>
                <w:rFonts w:asciiTheme="minorHAnsi" w:hAnsiTheme="minorHAnsi" w:cstheme="minorHAnsi"/>
                <w:color w:val="auto"/>
                <w:sz w:val="22"/>
                <w:szCs w:val="22"/>
              </w:rPr>
              <w:t>)</w:t>
            </w:r>
            <w:r w:rsidRPr="00EB6CCC">
              <w:rPr>
                <w:rFonts w:asciiTheme="minorHAnsi" w:hAnsiTheme="minorHAnsi" w:cstheme="minorHAnsi"/>
                <w:color w:val="auto"/>
                <w:sz w:val="22"/>
                <w:szCs w:val="22"/>
              </w:rPr>
              <w:t xml:space="preserve"> are used in assessing clinical components to evaluate knowledge, skills,</w:t>
            </w:r>
            <w:r w:rsidR="004749EC" w:rsidRPr="00EB6CCC">
              <w:rPr>
                <w:rFonts w:asciiTheme="minorHAnsi" w:hAnsiTheme="minorHAnsi" w:cstheme="minorHAnsi"/>
                <w:color w:val="auto"/>
                <w:sz w:val="22"/>
                <w:szCs w:val="22"/>
              </w:rPr>
              <w:t xml:space="preserve"> and </w:t>
            </w:r>
            <w:r w:rsidRPr="00EB6CCC">
              <w:rPr>
                <w:rFonts w:asciiTheme="minorHAnsi" w:hAnsiTheme="minorHAnsi" w:cstheme="minorHAnsi"/>
                <w:color w:val="auto"/>
                <w:sz w:val="22"/>
                <w:szCs w:val="22"/>
              </w:rPr>
              <w:t>behaviours to meet the learning outcomes</w:t>
            </w:r>
          </w:p>
        </w:tc>
        <w:tc>
          <w:tcPr>
            <w:tcW w:w="5401" w:type="dxa"/>
          </w:tcPr>
          <w:p w:rsidR="00DE690A" w:rsidRDefault="00DE690A" w:rsidP="00A414E8">
            <w:pPr>
              <w:rPr>
                <w:rFonts w:cstheme="minorHAnsi"/>
              </w:rPr>
            </w:pPr>
          </w:p>
        </w:tc>
        <w:tc>
          <w:tcPr>
            <w:tcW w:w="3652" w:type="dxa"/>
            <w:shd w:val="clear" w:color="auto" w:fill="EAFCF3"/>
          </w:tcPr>
          <w:p w:rsidR="00DE690A" w:rsidRPr="009224FD" w:rsidRDefault="00DE690A" w:rsidP="00A414E8">
            <w:pPr>
              <w:pStyle w:val="TableText"/>
              <w:rPr>
                <w:rFonts w:cstheme="minorHAnsi"/>
              </w:rPr>
            </w:pPr>
          </w:p>
        </w:tc>
      </w:tr>
      <w:tr w:rsidR="00A414E8" w:rsidRPr="009224FD" w:rsidTr="00A124B5">
        <w:trPr>
          <w:trHeight w:val="96"/>
        </w:trPr>
        <w:tc>
          <w:tcPr>
            <w:tcW w:w="4915" w:type="dxa"/>
            <w:tcBorders>
              <w:bottom w:val="single" w:sz="4" w:space="0" w:color="auto"/>
            </w:tcBorders>
          </w:tcPr>
          <w:p w:rsidR="00A414E8" w:rsidRPr="00EB6CCC" w:rsidRDefault="00A414E8" w:rsidP="00CD1A8D">
            <w:pPr>
              <w:pStyle w:val="TableText"/>
              <w:rPr>
                <w:rFonts w:cstheme="minorHAnsi"/>
                <w:color w:val="auto"/>
                <w:sz w:val="22"/>
                <w:szCs w:val="22"/>
              </w:rPr>
            </w:pPr>
            <w:r w:rsidRPr="00EB6CCC">
              <w:rPr>
                <w:rFonts w:asciiTheme="minorHAnsi" w:hAnsiTheme="minorHAnsi" w:cstheme="minorHAnsi"/>
                <w:color w:val="auto"/>
                <w:sz w:val="22"/>
                <w:szCs w:val="22"/>
              </w:rPr>
              <w:lastRenderedPageBreak/>
              <w:t>Assessments measures</w:t>
            </w:r>
            <w:r w:rsidR="004749EC" w:rsidRPr="00EB6CCC">
              <w:rPr>
                <w:rFonts w:asciiTheme="minorHAnsi" w:hAnsiTheme="minorHAnsi" w:cstheme="minorHAnsi"/>
                <w:color w:val="auto"/>
                <w:sz w:val="22"/>
                <w:szCs w:val="22"/>
              </w:rPr>
              <w:t>,</w:t>
            </w:r>
            <w:r w:rsidRPr="00EB6CCC">
              <w:rPr>
                <w:rFonts w:asciiTheme="minorHAnsi" w:hAnsiTheme="minorHAnsi" w:cstheme="minorHAnsi"/>
                <w:color w:val="auto"/>
                <w:sz w:val="22"/>
                <w:szCs w:val="22"/>
              </w:rPr>
              <w:t xml:space="preserve"> where appropriate</w:t>
            </w:r>
            <w:r w:rsidR="004749EC" w:rsidRPr="00EB6CCC">
              <w:rPr>
                <w:rFonts w:asciiTheme="minorHAnsi" w:hAnsiTheme="minorHAnsi" w:cstheme="minorHAnsi"/>
                <w:color w:val="auto"/>
                <w:sz w:val="22"/>
                <w:szCs w:val="22"/>
              </w:rPr>
              <w:t>, demonstrate</w:t>
            </w:r>
            <w:r w:rsidRPr="00EB6CCC">
              <w:rPr>
                <w:rFonts w:asciiTheme="minorHAnsi" w:hAnsiTheme="minorHAnsi" w:cstheme="minorHAnsi"/>
                <w:color w:val="auto"/>
                <w:sz w:val="22"/>
                <w:szCs w:val="22"/>
              </w:rPr>
              <w:t xml:space="preserve"> the integration and application of theory to patient care learned throughout the </w:t>
            </w:r>
            <w:r w:rsidR="00B569D9">
              <w:rPr>
                <w:rFonts w:asciiTheme="minorHAnsi" w:hAnsiTheme="minorHAnsi" w:cstheme="minorHAnsi"/>
                <w:color w:val="auto"/>
                <w:sz w:val="22"/>
                <w:szCs w:val="22"/>
              </w:rPr>
              <w:t>programme</w:t>
            </w:r>
            <w:r w:rsidRPr="00EB6CCC">
              <w:rPr>
                <w:rFonts w:asciiTheme="minorHAnsi" w:hAnsiTheme="minorHAnsi" w:cstheme="minorHAnsi"/>
                <w:color w:val="auto"/>
                <w:sz w:val="22"/>
                <w:szCs w:val="22"/>
              </w:rPr>
              <w:t>/units of learning and r</w:t>
            </w:r>
            <w:r w:rsidR="004749EC" w:rsidRPr="00EB6CCC">
              <w:rPr>
                <w:rFonts w:asciiTheme="minorHAnsi" w:hAnsiTheme="minorHAnsi" w:cstheme="minorHAnsi"/>
                <w:color w:val="auto"/>
                <w:sz w:val="22"/>
                <w:szCs w:val="22"/>
              </w:rPr>
              <w:t>equires the student</w:t>
            </w:r>
            <w:r w:rsidRPr="00EB6CCC">
              <w:rPr>
                <w:rFonts w:asciiTheme="minorHAnsi" w:hAnsiTheme="minorHAnsi" w:cstheme="minorHAnsi"/>
                <w:color w:val="auto"/>
                <w:sz w:val="22"/>
                <w:szCs w:val="22"/>
              </w:rPr>
              <w:t xml:space="preserve"> to demonstrate competence within practice through the achievement of learning outco</w:t>
            </w:r>
            <w:r w:rsidR="00EB6CCC">
              <w:rPr>
                <w:rFonts w:asciiTheme="minorHAnsi" w:hAnsiTheme="minorHAnsi" w:cstheme="minorHAnsi"/>
                <w:color w:val="auto"/>
                <w:sz w:val="22"/>
                <w:szCs w:val="22"/>
              </w:rPr>
              <w:t>mes in both theory and practice</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756"/>
        </w:trPr>
        <w:tc>
          <w:tcPr>
            <w:tcW w:w="4915" w:type="dxa"/>
            <w:tcBorders>
              <w:bottom w:val="single" w:sz="4" w:space="0" w:color="auto"/>
            </w:tcBorders>
          </w:tcPr>
          <w:p w:rsidR="00A414E8" w:rsidRDefault="00A414E8" w:rsidP="00A414E8">
            <w:pPr>
              <w:pStyle w:val="TableText"/>
              <w:rPr>
                <w:rFonts w:asciiTheme="minorHAnsi" w:hAnsiTheme="minorHAnsi" w:cstheme="minorHAnsi"/>
                <w:sz w:val="22"/>
                <w:szCs w:val="22"/>
              </w:rPr>
            </w:pPr>
            <w:r>
              <w:rPr>
                <w:rFonts w:asciiTheme="minorHAnsi" w:hAnsiTheme="minorHAnsi" w:cstheme="minorHAnsi"/>
                <w:sz w:val="22"/>
                <w:szCs w:val="22"/>
              </w:rPr>
              <w:t>Grading criteria indicating the standard for a pass award is required for theoretical and clinical practice competency assessments as award/grading mechanism, which acknowledges higher achievements by the s</w:t>
            </w:r>
            <w:r w:rsidR="00EB6CCC">
              <w:rPr>
                <w:rFonts w:asciiTheme="minorHAnsi" w:hAnsiTheme="minorHAnsi" w:cstheme="minorHAnsi"/>
                <w:sz w:val="22"/>
                <w:szCs w:val="22"/>
              </w:rPr>
              <w:t>tudent/participant, is recorded</w:t>
            </w:r>
          </w:p>
          <w:p w:rsidR="00A414E8" w:rsidRDefault="00A414E8" w:rsidP="00A414E8">
            <w:pPr>
              <w:pStyle w:val="TableText"/>
              <w:rPr>
                <w:rFonts w:cstheme="minorHAnsi"/>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471"/>
        </w:trPr>
        <w:tc>
          <w:tcPr>
            <w:tcW w:w="4915" w:type="dxa"/>
            <w:tcBorders>
              <w:bottom w:val="single" w:sz="4" w:space="0" w:color="auto"/>
            </w:tcBorders>
          </w:tcPr>
          <w:p w:rsidR="00A414E8" w:rsidRDefault="00A414E8" w:rsidP="00A414E8">
            <w:pPr>
              <w:pStyle w:val="TableText"/>
              <w:rPr>
                <w:rFonts w:asciiTheme="minorHAnsi" w:hAnsiTheme="minorHAnsi" w:cstheme="minorHAnsi"/>
                <w:sz w:val="22"/>
                <w:szCs w:val="22"/>
              </w:rPr>
            </w:pPr>
            <w:r>
              <w:rPr>
                <w:rFonts w:asciiTheme="minorHAnsi" w:hAnsiTheme="minorHAnsi" w:cstheme="minorHAnsi"/>
                <w:sz w:val="22"/>
                <w:szCs w:val="22"/>
              </w:rPr>
              <w:t xml:space="preserve">Marks and standards and assessments regulations relating to compensation, supplemental and appeal mechanisms and conditions for </w:t>
            </w:r>
            <w:r w:rsidR="00CD1A8D">
              <w:rPr>
                <w:rFonts w:asciiTheme="minorHAnsi" w:hAnsiTheme="minorHAnsi" w:cstheme="minorHAnsi"/>
                <w:sz w:val="22"/>
                <w:szCs w:val="22"/>
              </w:rPr>
              <w:t>continuance of</w:t>
            </w:r>
            <w:r>
              <w:rPr>
                <w:rFonts w:asciiTheme="minorHAnsi" w:hAnsiTheme="minorHAnsi" w:cstheme="minorHAnsi"/>
                <w:sz w:val="22"/>
                <w:szCs w:val="22"/>
              </w:rPr>
              <w:t xml:space="preserve"> the education </w:t>
            </w:r>
            <w:r w:rsidR="00B569D9">
              <w:rPr>
                <w:rFonts w:asciiTheme="minorHAnsi" w:hAnsiTheme="minorHAnsi" w:cstheme="minorHAnsi"/>
                <w:sz w:val="22"/>
                <w:szCs w:val="22"/>
              </w:rPr>
              <w:t>programme</w:t>
            </w:r>
            <w:r w:rsidR="00EB6CCC">
              <w:rPr>
                <w:rFonts w:asciiTheme="minorHAnsi" w:hAnsiTheme="minorHAnsi" w:cstheme="minorHAnsi"/>
                <w:sz w:val="22"/>
                <w:szCs w:val="22"/>
              </w:rPr>
              <w:t>/units of learning are explicit</w:t>
            </w:r>
          </w:p>
          <w:p w:rsidR="00A414E8" w:rsidRDefault="00A414E8" w:rsidP="00A414E8">
            <w:pPr>
              <w:pStyle w:val="TableText"/>
              <w:rPr>
                <w:rFonts w:cstheme="minorHAnsi"/>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962"/>
        </w:trPr>
        <w:tc>
          <w:tcPr>
            <w:tcW w:w="4915" w:type="dxa"/>
            <w:tcBorders>
              <w:bottom w:val="single" w:sz="4" w:space="0" w:color="auto"/>
            </w:tcBorders>
          </w:tcPr>
          <w:p w:rsidR="00A414E8" w:rsidRPr="00EB6CCC" w:rsidRDefault="00A414E8" w:rsidP="00A414E8">
            <w:pPr>
              <w:pStyle w:val="TableText"/>
              <w:rPr>
                <w:rFonts w:asciiTheme="minorHAnsi" w:hAnsiTheme="minorHAnsi" w:cstheme="minorHAnsi"/>
                <w:color w:val="auto"/>
                <w:sz w:val="22"/>
                <w:szCs w:val="22"/>
              </w:rPr>
            </w:pPr>
            <w:r w:rsidRPr="00EB6CCC">
              <w:rPr>
                <w:rFonts w:asciiTheme="minorHAnsi" w:hAnsiTheme="minorHAnsi" w:cstheme="minorHAnsi"/>
                <w:color w:val="auto"/>
                <w:sz w:val="22"/>
                <w:szCs w:val="22"/>
              </w:rPr>
              <w:t>Ultimate accountability for the assessment of students in relation to achievement of clinical competence components</w:t>
            </w:r>
            <w:r w:rsidR="004749EC" w:rsidRPr="00EB6CCC">
              <w:rPr>
                <w:rFonts w:asciiTheme="minorHAnsi" w:hAnsiTheme="minorHAnsi" w:cstheme="minorHAnsi"/>
                <w:color w:val="auto"/>
                <w:sz w:val="22"/>
                <w:szCs w:val="22"/>
              </w:rPr>
              <w:t xml:space="preserve"> is specified</w:t>
            </w:r>
          </w:p>
          <w:p w:rsidR="00A414E8" w:rsidRPr="009B7EF3" w:rsidRDefault="00A414E8" w:rsidP="00A414E8">
            <w:pPr>
              <w:pStyle w:val="TableText"/>
              <w:rPr>
                <w:rFonts w:cstheme="minorHAnsi"/>
                <w:color w:val="FF0000"/>
                <w:sz w:val="22"/>
                <w:szCs w:val="22"/>
              </w:rPr>
            </w:pPr>
          </w:p>
        </w:tc>
        <w:tc>
          <w:tcPr>
            <w:tcW w:w="5401" w:type="dxa"/>
          </w:tcPr>
          <w:p w:rsidR="00A414E8" w:rsidRPr="009224FD" w:rsidRDefault="00A414E8" w:rsidP="00A414E8">
            <w:pPr>
              <w:pStyle w:val="TableSubheading"/>
              <w:rPr>
                <w:rFonts w:cstheme="minorHAnsi"/>
                <w:color w:val="auto"/>
              </w:rPr>
            </w:pPr>
          </w:p>
        </w:tc>
        <w:tc>
          <w:tcPr>
            <w:tcW w:w="3652" w:type="dxa"/>
          </w:tcPr>
          <w:p w:rsidR="00A414E8" w:rsidRPr="009224FD" w:rsidRDefault="00A414E8" w:rsidP="00A414E8">
            <w:pPr>
              <w:pStyle w:val="TableText"/>
              <w:jc w:val="center"/>
              <w:rPr>
                <w:rFonts w:cstheme="minorHAnsi"/>
                <w:b/>
              </w:rPr>
            </w:pPr>
          </w:p>
        </w:tc>
      </w:tr>
      <w:tr w:rsidR="00A414E8" w:rsidRPr="009224FD" w:rsidTr="00A124B5">
        <w:trPr>
          <w:trHeight w:val="1554"/>
        </w:trPr>
        <w:tc>
          <w:tcPr>
            <w:tcW w:w="4915" w:type="dxa"/>
            <w:tcBorders>
              <w:bottom w:val="single" w:sz="4" w:space="0" w:color="auto"/>
            </w:tcBorders>
          </w:tcPr>
          <w:p w:rsidR="00A414E8" w:rsidRPr="00EB6CCC" w:rsidRDefault="00A414E8" w:rsidP="00A414E8">
            <w:pPr>
              <w:pStyle w:val="TableText"/>
              <w:rPr>
                <w:rFonts w:asciiTheme="minorHAnsi" w:hAnsiTheme="minorHAnsi" w:cstheme="minorHAnsi"/>
                <w:color w:val="auto"/>
                <w:sz w:val="22"/>
                <w:szCs w:val="22"/>
              </w:rPr>
            </w:pPr>
            <w:r w:rsidRPr="00EB6CCC">
              <w:rPr>
                <w:rFonts w:asciiTheme="minorHAnsi" w:hAnsiTheme="minorHAnsi" w:cstheme="minorHAnsi"/>
                <w:color w:val="auto"/>
                <w:sz w:val="22"/>
                <w:szCs w:val="22"/>
              </w:rPr>
              <w:t>Evidence of policies and procedures to ensure fairness, reliability, validity and transparency in assessing students</w:t>
            </w:r>
          </w:p>
          <w:p w:rsidR="00A414E8" w:rsidRPr="009B7EF3" w:rsidRDefault="00A414E8" w:rsidP="00A414E8">
            <w:pPr>
              <w:pStyle w:val="TableText"/>
              <w:rPr>
                <w:rFonts w:cstheme="minorHAnsi"/>
                <w:color w:val="FF0000"/>
                <w:sz w:val="22"/>
                <w:szCs w:val="22"/>
              </w:rPr>
            </w:pPr>
          </w:p>
        </w:tc>
        <w:tc>
          <w:tcPr>
            <w:tcW w:w="5401" w:type="dxa"/>
          </w:tcPr>
          <w:p w:rsidR="00A414E8" w:rsidRPr="009224FD" w:rsidRDefault="00A414E8" w:rsidP="00A414E8">
            <w:pPr>
              <w:pStyle w:val="TableSubheading"/>
              <w:rPr>
                <w:rFonts w:cstheme="minorHAnsi"/>
                <w:color w:val="auto"/>
              </w:rPr>
            </w:pPr>
          </w:p>
        </w:tc>
        <w:tc>
          <w:tcPr>
            <w:tcW w:w="3652" w:type="dxa"/>
          </w:tcPr>
          <w:p w:rsidR="00A414E8" w:rsidRPr="009224FD" w:rsidRDefault="00A414E8" w:rsidP="00A414E8">
            <w:pPr>
              <w:pStyle w:val="TableText"/>
              <w:jc w:val="center"/>
              <w:rPr>
                <w:rFonts w:cstheme="minorHAnsi"/>
                <w:b/>
              </w:rPr>
            </w:pPr>
          </w:p>
        </w:tc>
      </w:tr>
      <w:tr w:rsidR="00A414E8" w:rsidRPr="009224FD" w:rsidTr="00A124B5">
        <w:trPr>
          <w:trHeight w:val="966"/>
        </w:trPr>
        <w:tc>
          <w:tcPr>
            <w:tcW w:w="4915" w:type="dxa"/>
            <w:tcBorders>
              <w:bottom w:val="single" w:sz="4" w:space="0" w:color="auto"/>
            </w:tcBorders>
          </w:tcPr>
          <w:p w:rsidR="00A414E8" w:rsidRPr="00EB6CCC" w:rsidRDefault="00A414E8" w:rsidP="00DF0AD8">
            <w:pPr>
              <w:pStyle w:val="TableText"/>
              <w:ind w:left="147"/>
              <w:rPr>
                <w:rFonts w:asciiTheme="minorHAnsi" w:hAnsiTheme="minorHAnsi" w:cstheme="minorHAnsi"/>
                <w:color w:val="auto"/>
                <w:sz w:val="22"/>
                <w:szCs w:val="22"/>
              </w:rPr>
            </w:pPr>
            <w:r w:rsidRPr="00EB6CCC">
              <w:rPr>
                <w:rFonts w:asciiTheme="minorHAnsi" w:hAnsiTheme="minorHAnsi" w:cstheme="minorHAnsi"/>
                <w:color w:val="auto"/>
                <w:sz w:val="22"/>
                <w:szCs w:val="22"/>
              </w:rPr>
              <w:lastRenderedPageBreak/>
              <w:t>Evidence of policy and procedure governing  maintenance of integrity of assessment processes</w:t>
            </w:r>
          </w:p>
          <w:p w:rsidR="00A414E8" w:rsidRPr="009B7EF3" w:rsidRDefault="00A414E8" w:rsidP="00DF0AD8">
            <w:pPr>
              <w:pStyle w:val="TableText"/>
              <w:ind w:left="147"/>
              <w:rPr>
                <w:rFonts w:cstheme="minorHAnsi"/>
                <w:color w:val="FF0000"/>
                <w:sz w:val="22"/>
                <w:szCs w:val="22"/>
              </w:rPr>
            </w:pPr>
          </w:p>
        </w:tc>
        <w:tc>
          <w:tcPr>
            <w:tcW w:w="5401" w:type="dxa"/>
          </w:tcPr>
          <w:p w:rsidR="00A414E8" w:rsidRPr="009224FD" w:rsidRDefault="00A414E8" w:rsidP="00A414E8">
            <w:pPr>
              <w:pStyle w:val="TableSubheading"/>
              <w:rPr>
                <w:rFonts w:cstheme="minorHAnsi"/>
                <w:color w:val="auto"/>
              </w:rPr>
            </w:pPr>
          </w:p>
        </w:tc>
        <w:tc>
          <w:tcPr>
            <w:tcW w:w="3652" w:type="dxa"/>
          </w:tcPr>
          <w:p w:rsidR="00A414E8" w:rsidRPr="009224FD" w:rsidRDefault="00A414E8" w:rsidP="00A414E8">
            <w:pPr>
              <w:pStyle w:val="TableText"/>
              <w:jc w:val="center"/>
              <w:rPr>
                <w:rFonts w:cstheme="minorHAnsi"/>
                <w:b/>
              </w:rPr>
            </w:pPr>
          </w:p>
        </w:tc>
      </w:tr>
      <w:tr w:rsidR="00A414E8" w:rsidRPr="009224FD" w:rsidTr="00A124B5">
        <w:trPr>
          <w:trHeight w:val="1554"/>
        </w:trPr>
        <w:tc>
          <w:tcPr>
            <w:tcW w:w="4915" w:type="dxa"/>
            <w:tcBorders>
              <w:bottom w:val="single" w:sz="4" w:space="0" w:color="auto"/>
            </w:tcBorders>
          </w:tcPr>
          <w:p w:rsidR="00A414E8" w:rsidRPr="00EB6CCC" w:rsidRDefault="00A414E8" w:rsidP="00DF0AD8">
            <w:pPr>
              <w:pStyle w:val="TableText"/>
              <w:ind w:left="147"/>
              <w:rPr>
                <w:rFonts w:asciiTheme="minorHAnsi" w:hAnsiTheme="minorHAnsi" w:cstheme="minorHAnsi"/>
                <w:color w:val="auto"/>
                <w:sz w:val="22"/>
                <w:szCs w:val="22"/>
              </w:rPr>
            </w:pPr>
            <w:r w:rsidRPr="00EB6CCC">
              <w:rPr>
                <w:rFonts w:asciiTheme="minorHAnsi" w:hAnsiTheme="minorHAnsi" w:cstheme="minorHAnsi"/>
                <w:color w:val="auto"/>
                <w:sz w:val="22"/>
                <w:szCs w:val="22"/>
              </w:rPr>
              <w:t>Scope for compensation between modules must be explicit within the curriculum.  Compensation between theoretical and clinical components of assessment</w:t>
            </w:r>
            <w:r w:rsidR="00EB6CCC" w:rsidRPr="00EB6CCC">
              <w:rPr>
                <w:rFonts w:asciiTheme="minorHAnsi" w:hAnsiTheme="minorHAnsi" w:cstheme="minorHAnsi"/>
                <w:color w:val="auto"/>
                <w:sz w:val="22"/>
                <w:szCs w:val="22"/>
              </w:rPr>
              <w:t xml:space="preserve"> in any programme is prohibited</w:t>
            </w:r>
            <w:r w:rsidRPr="00EB6CCC">
              <w:rPr>
                <w:rFonts w:asciiTheme="minorHAnsi" w:hAnsiTheme="minorHAnsi" w:cstheme="minorHAnsi"/>
                <w:color w:val="auto"/>
                <w:sz w:val="22"/>
                <w:szCs w:val="22"/>
              </w:rPr>
              <w:t xml:space="preserve">  </w:t>
            </w:r>
          </w:p>
          <w:p w:rsidR="00A414E8" w:rsidRPr="009B7EF3" w:rsidRDefault="00A414E8" w:rsidP="00DF0AD8">
            <w:pPr>
              <w:pStyle w:val="TableText"/>
              <w:ind w:left="147"/>
              <w:jc w:val="center"/>
              <w:rPr>
                <w:rFonts w:cstheme="minorHAnsi"/>
                <w:b/>
                <w:color w:val="FF0000"/>
                <w:sz w:val="22"/>
                <w:szCs w:val="22"/>
              </w:rPr>
            </w:pPr>
          </w:p>
        </w:tc>
        <w:tc>
          <w:tcPr>
            <w:tcW w:w="5401" w:type="dxa"/>
          </w:tcPr>
          <w:p w:rsidR="00A414E8" w:rsidRPr="009224FD" w:rsidRDefault="00A414E8" w:rsidP="00A414E8">
            <w:pPr>
              <w:pStyle w:val="TableSubheading"/>
              <w:rPr>
                <w:rFonts w:cstheme="minorHAnsi"/>
                <w:color w:val="auto"/>
              </w:rPr>
            </w:pPr>
          </w:p>
        </w:tc>
        <w:tc>
          <w:tcPr>
            <w:tcW w:w="3652" w:type="dxa"/>
          </w:tcPr>
          <w:p w:rsidR="00A414E8" w:rsidRPr="009224FD" w:rsidRDefault="00A414E8" w:rsidP="00A414E8">
            <w:pPr>
              <w:pStyle w:val="TableText"/>
              <w:jc w:val="center"/>
              <w:rPr>
                <w:rFonts w:cstheme="minorHAnsi"/>
                <w:b/>
              </w:rPr>
            </w:pPr>
          </w:p>
        </w:tc>
      </w:tr>
      <w:tr w:rsidR="00A414E8" w:rsidRPr="009224FD" w:rsidTr="00A124B5">
        <w:trPr>
          <w:trHeight w:val="1102"/>
        </w:trPr>
        <w:tc>
          <w:tcPr>
            <w:tcW w:w="4915" w:type="dxa"/>
            <w:tcBorders>
              <w:bottom w:val="single" w:sz="4" w:space="0" w:color="auto"/>
            </w:tcBorders>
          </w:tcPr>
          <w:p w:rsidR="00A414E8" w:rsidRPr="00EB6CCC" w:rsidRDefault="00A414E8" w:rsidP="00DF0AD8">
            <w:pPr>
              <w:pStyle w:val="TableText"/>
              <w:ind w:left="147"/>
              <w:rPr>
                <w:rFonts w:cstheme="minorHAnsi"/>
                <w:b/>
                <w:color w:val="auto"/>
                <w:sz w:val="22"/>
                <w:szCs w:val="22"/>
              </w:rPr>
            </w:pPr>
            <w:r w:rsidRPr="00EB6CCC">
              <w:rPr>
                <w:rFonts w:asciiTheme="minorHAnsi" w:hAnsiTheme="minorHAnsi" w:cstheme="minorHAnsi"/>
                <w:color w:val="auto"/>
                <w:sz w:val="22"/>
                <w:szCs w:val="22"/>
              </w:rPr>
              <w:t>The education provider must make explicit the number of repeat attempts permitted for failed elements of assessment</w:t>
            </w:r>
          </w:p>
        </w:tc>
        <w:tc>
          <w:tcPr>
            <w:tcW w:w="5401" w:type="dxa"/>
          </w:tcPr>
          <w:p w:rsidR="00A414E8" w:rsidRPr="009224FD" w:rsidRDefault="00A414E8" w:rsidP="00A414E8">
            <w:pPr>
              <w:pStyle w:val="TableSubheading"/>
              <w:rPr>
                <w:rFonts w:cstheme="minorHAnsi"/>
                <w:color w:val="auto"/>
              </w:rPr>
            </w:pPr>
          </w:p>
        </w:tc>
        <w:tc>
          <w:tcPr>
            <w:tcW w:w="3652" w:type="dxa"/>
          </w:tcPr>
          <w:p w:rsidR="00A414E8" w:rsidRPr="009224FD" w:rsidRDefault="00A414E8" w:rsidP="00A414E8">
            <w:pPr>
              <w:pStyle w:val="TableText"/>
              <w:jc w:val="center"/>
              <w:rPr>
                <w:rFonts w:cstheme="minorHAnsi"/>
                <w:b/>
              </w:rPr>
            </w:pPr>
          </w:p>
        </w:tc>
      </w:tr>
      <w:tr w:rsidR="00A414E8" w:rsidRPr="009224FD" w:rsidTr="00A124B5">
        <w:trPr>
          <w:trHeight w:val="1554"/>
        </w:trPr>
        <w:tc>
          <w:tcPr>
            <w:tcW w:w="4915" w:type="dxa"/>
            <w:tcBorders>
              <w:bottom w:val="single" w:sz="4" w:space="0" w:color="auto"/>
            </w:tcBorders>
          </w:tcPr>
          <w:p w:rsidR="00A414E8" w:rsidRDefault="00A414E8" w:rsidP="00DF0AD8">
            <w:pPr>
              <w:pStyle w:val="TableText"/>
              <w:ind w:left="147"/>
              <w:rPr>
                <w:rFonts w:asciiTheme="minorHAnsi" w:hAnsiTheme="minorHAnsi" w:cstheme="minorHAnsi"/>
                <w:color w:val="auto"/>
                <w:sz w:val="22"/>
                <w:szCs w:val="22"/>
              </w:rPr>
            </w:pPr>
            <w:r w:rsidRPr="00EB6CCC">
              <w:rPr>
                <w:rFonts w:asciiTheme="minorHAnsi" w:hAnsiTheme="minorHAnsi" w:cstheme="minorHAnsi"/>
                <w:color w:val="auto"/>
                <w:sz w:val="22"/>
                <w:szCs w:val="22"/>
              </w:rPr>
              <w:t>The role of the external examiner is explicit and functions to maintain quality and standard of the programme, ensures assessment strategies are reliable and equitable and students are treated fairly</w:t>
            </w: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Default="00B57D00" w:rsidP="00DF0AD8">
            <w:pPr>
              <w:pStyle w:val="TableText"/>
              <w:ind w:left="147"/>
              <w:rPr>
                <w:rFonts w:asciiTheme="minorHAnsi" w:hAnsiTheme="minorHAnsi" w:cstheme="minorHAnsi"/>
                <w:color w:val="auto"/>
                <w:sz w:val="22"/>
                <w:szCs w:val="22"/>
              </w:rPr>
            </w:pPr>
          </w:p>
          <w:p w:rsidR="00B57D00" w:rsidRPr="00EB6CCC" w:rsidRDefault="00B57D00" w:rsidP="00B57D00">
            <w:pPr>
              <w:pStyle w:val="TableText"/>
              <w:rPr>
                <w:rFonts w:cstheme="minorHAnsi"/>
                <w:b/>
                <w:color w:val="auto"/>
                <w:sz w:val="22"/>
                <w:szCs w:val="22"/>
              </w:rPr>
            </w:pPr>
          </w:p>
        </w:tc>
        <w:tc>
          <w:tcPr>
            <w:tcW w:w="5401" w:type="dxa"/>
          </w:tcPr>
          <w:p w:rsidR="00A414E8" w:rsidRPr="009224FD" w:rsidRDefault="00A414E8" w:rsidP="00A414E8">
            <w:pPr>
              <w:pStyle w:val="TableSubheading"/>
              <w:rPr>
                <w:rFonts w:cstheme="minorHAnsi"/>
                <w:color w:val="auto"/>
              </w:rPr>
            </w:pPr>
          </w:p>
        </w:tc>
        <w:tc>
          <w:tcPr>
            <w:tcW w:w="3652" w:type="dxa"/>
          </w:tcPr>
          <w:p w:rsidR="00A414E8" w:rsidRPr="009224FD" w:rsidRDefault="00A414E8" w:rsidP="00A414E8">
            <w:pPr>
              <w:pStyle w:val="TableText"/>
              <w:jc w:val="center"/>
              <w:rPr>
                <w:rFonts w:cstheme="minorHAnsi"/>
                <w:b/>
              </w:rPr>
            </w:pPr>
          </w:p>
        </w:tc>
      </w:tr>
      <w:tr w:rsidR="00A414E8" w:rsidRPr="009224FD" w:rsidTr="00A124B5">
        <w:trPr>
          <w:trHeight w:val="856"/>
        </w:trPr>
        <w:tc>
          <w:tcPr>
            <w:tcW w:w="4915" w:type="dxa"/>
            <w:tcBorders>
              <w:bottom w:val="single" w:sz="4" w:space="0" w:color="auto"/>
            </w:tcBorders>
            <w:shd w:val="clear" w:color="auto" w:fill="9BBB59"/>
          </w:tcPr>
          <w:p w:rsidR="00A414E8" w:rsidRPr="00DF0AD8" w:rsidRDefault="00A414E8" w:rsidP="00A414E8">
            <w:pPr>
              <w:pStyle w:val="TableText"/>
              <w:jc w:val="center"/>
              <w:rPr>
                <w:rFonts w:asciiTheme="minorHAnsi" w:hAnsiTheme="minorHAnsi" w:cstheme="minorHAnsi"/>
                <w:b/>
                <w:sz w:val="22"/>
                <w:szCs w:val="22"/>
              </w:rPr>
            </w:pPr>
            <w:r w:rsidRPr="00DF0AD8">
              <w:rPr>
                <w:rFonts w:asciiTheme="minorHAnsi" w:hAnsiTheme="minorHAnsi" w:cstheme="minorHAnsi"/>
                <w:b/>
                <w:sz w:val="22"/>
                <w:szCs w:val="22"/>
              </w:rPr>
              <w:lastRenderedPageBreak/>
              <w:t>External  Examiners</w:t>
            </w:r>
          </w:p>
          <w:p w:rsidR="00A414E8" w:rsidRPr="00DF0AD8" w:rsidRDefault="00A414E8" w:rsidP="00A414E8">
            <w:pPr>
              <w:pStyle w:val="TableText"/>
              <w:rPr>
                <w:rFonts w:cstheme="minorHAnsi"/>
                <w:b/>
                <w:color w:val="FF0000"/>
                <w:sz w:val="22"/>
                <w:szCs w:val="22"/>
              </w:rPr>
            </w:pPr>
          </w:p>
        </w:tc>
        <w:tc>
          <w:tcPr>
            <w:tcW w:w="5401" w:type="dxa"/>
            <w:shd w:val="clear" w:color="auto" w:fill="9BBB59" w:themeFill="accent3"/>
          </w:tcPr>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 xml:space="preserve">Evidence </w:t>
            </w:r>
          </w:p>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(link to relevant pages in the curriculum document)</w:t>
            </w:r>
          </w:p>
          <w:p w:rsidR="00A414E8" w:rsidRPr="00DF0AD8" w:rsidRDefault="00A414E8" w:rsidP="00A414E8">
            <w:pPr>
              <w:pStyle w:val="TableSubheading"/>
              <w:rPr>
                <w:rFonts w:cstheme="minorHAnsi"/>
                <w:color w:val="auto"/>
                <w:sz w:val="22"/>
                <w:szCs w:val="22"/>
              </w:rPr>
            </w:pPr>
          </w:p>
        </w:tc>
        <w:tc>
          <w:tcPr>
            <w:tcW w:w="3652" w:type="dxa"/>
            <w:shd w:val="clear" w:color="auto" w:fill="9BBB59" w:themeFill="accent3"/>
          </w:tcPr>
          <w:p w:rsidR="00A414E8" w:rsidRPr="00DF0AD8" w:rsidRDefault="00A414E8" w:rsidP="00A414E8">
            <w:pPr>
              <w:pStyle w:val="TableText"/>
              <w:jc w:val="center"/>
              <w:rPr>
                <w:rFonts w:cstheme="minorHAnsi"/>
                <w:b/>
                <w:sz w:val="22"/>
                <w:szCs w:val="22"/>
              </w:rPr>
            </w:pPr>
            <w:r w:rsidRPr="00DF0AD8">
              <w:rPr>
                <w:rFonts w:asciiTheme="minorHAnsi" w:hAnsiTheme="minorHAnsi" w:cstheme="minorHAnsi"/>
                <w:b/>
                <w:sz w:val="22"/>
                <w:szCs w:val="22"/>
              </w:rPr>
              <w:t>NMBI use only</w:t>
            </w:r>
          </w:p>
        </w:tc>
      </w:tr>
      <w:tr w:rsidR="00A414E8" w:rsidRPr="009224FD" w:rsidTr="00B57D00">
        <w:trPr>
          <w:trHeight w:val="2748"/>
        </w:trPr>
        <w:tc>
          <w:tcPr>
            <w:tcW w:w="4915" w:type="dxa"/>
            <w:tcBorders>
              <w:bottom w:val="single" w:sz="4" w:space="0" w:color="auto"/>
            </w:tcBorders>
          </w:tcPr>
          <w:p w:rsidR="00A414E8" w:rsidRPr="00B57D00" w:rsidRDefault="00A414E8" w:rsidP="00B57D00">
            <w:pPr>
              <w:pStyle w:val="TableText"/>
              <w:rPr>
                <w:rFonts w:asciiTheme="minorHAnsi" w:hAnsiTheme="minorHAnsi" w:cstheme="minorHAnsi"/>
                <w:sz w:val="22"/>
                <w:szCs w:val="22"/>
              </w:rPr>
            </w:pPr>
            <w:r>
              <w:rPr>
                <w:rFonts w:asciiTheme="minorHAnsi" w:hAnsiTheme="minorHAnsi" w:cstheme="minorHAnsi"/>
                <w:sz w:val="22"/>
                <w:szCs w:val="22"/>
              </w:rPr>
              <w:t xml:space="preserve">External Examiners have an important role in maintaining the standard of post-registration nursing and midwifery education </w:t>
            </w:r>
            <w:r w:rsidR="00B569D9">
              <w:rPr>
                <w:rFonts w:asciiTheme="minorHAnsi" w:hAnsiTheme="minorHAnsi" w:cstheme="minorHAnsi"/>
                <w:sz w:val="22"/>
                <w:szCs w:val="22"/>
              </w:rPr>
              <w:t>programme</w:t>
            </w:r>
            <w:r>
              <w:rPr>
                <w:rFonts w:asciiTheme="minorHAnsi" w:hAnsiTheme="minorHAnsi" w:cstheme="minorHAnsi"/>
                <w:sz w:val="22"/>
                <w:szCs w:val="22"/>
              </w:rPr>
              <w:t>/units of learning by providing an independent view about their content, structure</w:t>
            </w:r>
            <w:r w:rsidR="00017662">
              <w:rPr>
                <w:rFonts w:asciiTheme="minorHAnsi" w:hAnsiTheme="minorHAnsi" w:cstheme="minorHAnsi"/>
                <w:sz w:val="22"/>
                <w:szCs w:val="22"/>
              </w:rPr>
              <w:t xml:space="preserve">, organisation and assessment. </w:t>
            </w:r>
            <w:r>
              <w:rPr>
                <w:rFonts w:asciiTheme="minorHAnsi" w:hAnsiTheme="minorHAnsi" w:cstheme="minorHAnsi"/>
                <w:sz w:val="22"/>
                <w:szCs w:val="22"/>
              </w:rPr>
              <w:t>The third level institutions in collaboration with the relevant educational providers appoint external examiners in accordance with specified internal and extern</w:t>
            </w:r>
            <w:r w:rsidR="00017662">
              <w:rPr>
                <w:rFonts w:asciiTheme="minorHAnsi" w:hAnsiTheme="minorHAnsi" w:cstheme="minorHAnsi"/>
                <w:sz w:val="22"/>
                <w:szCs w:val="22"/>
              </w:rPr>
              <w:t>al criteria. (see below)</w:t>
            </w:r>
          </w:p>
        </w:tc>
        <w:tc>
          <w:tcPr>
            <w:tcW w:w="5401" w:type="dxa"/>
          </w:tcPr>
          <w:p w:rsidR="00A414E8" w:rsidRPr="009224FD" w:rsidRDefault="00A414E8" w:rsidP="00A414E8">
            <w:pPr>
              <w:pStyle w:val="TableSubheading"/>
              <w:jc w:val="left"/>
              <w:rPr>
                <w:rFonts w:asciiTheme="minorHAnsi" w:hAnsiTheme="minorHAnsi" w:cstheme="minorHAnsi"/>
              </w:rPr>
            </w:pPr>
          </w:p>
        </w:tc>
        <w:tc>
          <w:tcPr>
            <w:tcW w:w="3652" w:type="dxa"/>
            <w:shd w:val="clear" w:color="auto" w:fill="EAFCF3"/>
          </w:tcPr>
          <w:p w:rsidR="00A414E8" w:rsidRPr="009224FD" w:rsidRDefault="00A414E8" w:rsidP="00A414E8">
            <w:pPr>
              <w:pStyle w:val="TableText"/>
              <w:jc w:val="center"/>
              <w:rPr>
                <w:rFonts w:asciiTheme="minorHAnsi" w:hAnsiTheme="minorHAnsi" w:cstheme="minorHAnsi"/>
                <w:b/>
              </w:rPr>
            </w:pPr>
          </w:p>
        </w:tc>
      </w:tr>
      <w:tr w:rsidR="00A414E8" w:rsidRPr="009224FD" w:rsidTr="00A124B5">
        <w:trPr>
          <w:trHeight w:val="5213"/>
        </w:trPr>
        <w:tc>
          <w:tcPr>
            <w:tcW w:w="4915" w:type="dxa"/>
            <w:tcBorders>
              <w:bottom w:val="single" w:sz="4" w:space="0" w:color="auto"/>
            </w:tcBorders>
          </w:tcPr>
          <w:p w:rsidR="00A414E8" w:rsidRDefault="00A414E8" w:rsidP="00DF0AD8">
            <w:pPr>
              <w:pStyle w:val="TableText"/>
              <w:rPr>
                <w:rFonts w:asciiTheme="minorHAnsi" w:hAnsiTheme="minorHAnsi" w:cstheme="minorHAnsi"/>
                <w:sz w:val="22"/>
                <w:szCs w:val="22"/>
              </w:rPr>
            </w:pPr>
            <w:r>
              <w:rPr>
                <w:rFonts w:asciiTheme="minorHAnsi" w:hAnsiTheme="minorHAnsi" w:cstheme="minorHAnsi"/>
                <w:sz w:val="22"/>
                <w:szCs w:val="22"/>
              </w:rPr>
              <w:t xml:space="preserve">External examiners for post registration nursing and midwifery education </w:t>
            </w:r>
            <w:r w:rsidR="00B569D9">
              <w:rPr>
                <w:rFonts w:asciiTheme="minorHAnsi" w:hAnsiTheme="minorHAnsi" w:cstheme="minorHAnsi"/>
                <w:sz w:val="22"/>
                <w:szCs w:val="22"/>
              </w:rPr>
              <w:t>programme</w:t>
            </w:r>
            <w:r>
              <w:rPr>
                <w:rFonts w:asciiTheme="minorHAnsi" w:hAnsiTheme="minorHAnsi" w:cstheme="minorHAnsi"/>
                <w:sz w:val="22"/>
                <w:szCs w:val="22"/>
              </w:rPr>
              <w:t>/units of learning:</w:t>
            </w:r>
          </w:p>
          <w:p w:rsidR="00A414E8" w:rsidRDefault="00A414E8" w:rsidP="00DF0AD8">
            <w:pPr>
              <w:pStyle w:val="TableText"/>
              <w:numPr>
                <w:ilvl w:val="0"/>
                <w:numId w:val="9"/>
              </w:numPr>
              <w:ind w:left="714"/>
              <w:rPr>
                <w:rFonts w:asciiTheme="minorHAnsi" w:hAnsiTheme="minorHAnsi" w:cstheme="minorHAnsi"/>
                <w:sz w:val="22"/>
                <w:szCs w:val="22"/>
              </w:rPr>
            </w:pPr>
            <w:r>
              <w:rPr>
                <w:rFonts w:asciiTheme="minorHAnsi" w:hAnsiTheme="minorHAnsi" w:cstheme="minorHAnsi"/>
                <w:sz w:val="22"/>
                <w:szCs w:val="22"/>
              </w:rPr>
              <w:t xml:space="preserve">Are registered Nurses/Midwives with professional qualifications appropriate to the post-registration </w:t>
            </w:r>
            <w:r w:rsidR="00B569D9">
              <w:rPr>
                <w:rFonts w:asciiTheme="minorHAnsi" w:hAnsiTheme="minorHAnsi" w:cstheme="minorHAnsi"/>
                <w:sz w:val="22"/>
                <w:szCs w:val="22"/>
              </w:rPr>
              <w:t>programme</w:t>
            </w:r>
            <w:r>
              <w:rPr>
                <w:rFonts w:asciiTheme="minorHAnsi" w:hAnsiTheme="minorHAnsi" w:cstheme="minorHAnsi"/>
                <w:sz w:val="22"/>
                <w:szCs w:val="22"/>
              </w:rPr>
              <w:t xml:space="preserve">/units of learning </w:t>
            </w:r>
            <w:proofErr w:type="gramStart"/>
            <w:r>
              <w:rPr>
                <w:rFonts w:asciiTheme="minorHAnsi" w:hAnsiTheme="minorHAnsi" w:cstheme="minorHAnsi"/>
                <w:sz w:val="22"/>
                <w:szCs w:val="22"/>
              </w:rPr>
              <w:t>being  examined</w:t>
            </w:r>
            <w:proofErr w:type="gramEnd"/>
            <w:r>
              <w:rPr>
                <w:rFonts w:asciiTheme="minorHAnsi" w:hAnsiTheme="minorHAnsi" w:cstheme="minorHAnsi"/>
                <w:sz w:val="22"/>
                <w:szCs w:val="22"/>
              </w:rPr>
              <w:t>.</w:t>
            </w:r>
          </w:p>
          <w:p w:rsidR="00A414E8" w:rsidRDefault="00A414E8" w:rsidP="00DF0AD8">
            <w:pPr>
              <w:pStyle w:val="TableText"/>
              <w:numPr>
                <w:ilvl w:val="0"/>
                <w:numId w:val="9"/>
              </w:numPr>
              <w:ind w:left="714"/>
              <w:rPr>
                <w:rFonts w:asciiTheme="minorHAnsi" w:hAnsiTheme="minorHAnsi" w:cstheme="minorHAnsi"/>
                <w:sz w:val="22"/>
                <w:szCs w:val="22"/>
              </w:rPr>
            </w:pPr>
            <w:r>
              <w:rPr>
                <w:rFonts w:asciiTheme="minorHAnsi" w:hAnsiTheme="minorHAnsi" w:cstheme="minorHAnsi"/>
                <w:sz w:val="22"/>
                <w:szCs w:val="22"/>
              </w:rPr>
              <w:t>Have experience in examining and assessing post-registration students.</w:t>
            </w:r>
          </w:p>
          <w:p w:rsidR="00A414E8" w:rsidRDefault="00A414E8" w:rsidP="00DF0AD8">
            <w:pPr>
              <w:pStyle w:val="TableText"/>
              <w:numPr>
                <w:ilvl w:val="0"/>
                <w:numId w:val="9"/>
              </w:numPr>
              <w:ind w:left="714"/>
              <w:rPr>
                <w:rFonts w:asciiTheme="minorHAnsi" w:hAnsiTheme="minorHAnsi" w:cstheme="minorHAnsi"/>
                <w:sz w:val="22"/>
                <w:szCs w:val="22"/>
              </w:rPr>
            </w:pPr>
            <w:r>
              <w:rPr>
                <w:rFonts w:asciiTheme="minorHAnsi" w:hAnsiTheme="minorHAnsi" w:cstheme="minorHAnsi"/>
                <w:sz w:val="22"/>
                <w:szCs w:val="22"/>
              </w:rPr>
              <w:t xml:space="preserve">Have experience in development, management, delivery and evaluation of post-registration </w:t>
            </w:r>
            <w:r w:rsidR="00B569D9">
              <w:rPr>
                <w:rFonts w:asciiTheme="minorHAnsi" w:hAnsiTheme="minorHAnsi" w:cstheme="minorHAnsi"/>
                <w:sz w:val="22"/>
                <w:szCs w:val="22"/>
              </w:rPr>
              <w:t>programme</w:t>
            </w:r>
            <w:r>
              <w:rPr>
                <w:rFonts w:asciiTheme="minorHAnsi" w:hAnsiTheme="minorHAnsi" w:cstheme="minorHAnsi"/>
                <w:sz w:val="22"/>
                <w:szCs w:val="22"/>
              </w:rPr>
              <w:t>/units of learning.</w:t>
            </w:r>
          </w:p>
          <w:p w:rsidR="00A414E8" w:rsidRPr="00CD1A8D" w:rsidRDefault="00A414E8" w:rsidP="00DF0AD8">
            <w:pPr>
              <w:pStyle w:val="TableText"/>
              <w:rPr>
                <w:rFonts w:asciiTheme="minorHAnsi" w:hAnsiTheme="minorHAnsi" w:cstheme="minorHAnsi"/>
                <w:sz w:val="22"/>
                <w:szCs w:val="22"/>
              </w:rPr>
            </w:pPr>
            <w:r>
              <w:rPr>
                <w:rFonts w:asciiTheme="minorHAnsi" w:hAnsiTheme="minorHAnsi" w:cstheme="minorHAnsi"/>
                <w:sz w:val="22"/>
                <w:szCs w:val="22"/>
              </w:rPr>
              <w:t xml:space="preserve">The mechanism whereby the external examiner is provided with relevant documentation participates in decision-making concerning their </w:t>
            </w:r>
            <w:r w:rsidR="00B569D9">
              <w:rPr>
                <w:rFonts w:asciiTheme="minorHAnsi" w:hAnsiTheme="minorHAnsi" w:cstheme="minorHAnsi"/>
                <w:sz w:val="22"/>
                <w:szCs w:val="22"/>
              </w:rPr>
              <w:t>programme</w:t>
            </w:r>
            <w:r>
              <w:rPr>
                <w:rFonts w:asciiTheme="minorHAnsi" w:hAnsiTheme="minorHAnsi" w:cstheme="minorHAnsi"/>
                <w:sz w:val="22"/>
                <w:szCs w:val="22"/>
              </w:rPr>
              <w:t>/units of learning and has membership of the Examination Boards of the respe</w:t>
            </w:r>
            <w:r w:rsidR="00B57D00">
              <w:rPr>
                <w:rFonts w:asciiTheme="minorHAnsi" w:hAnsiTheme="minorHAnsi" w:cstheme="minorHAnsi"/>
                <w:sz w:val="22"/>
                <w:szCs w:val="22"/>
              </w:rPr>
              <w:t xml:space="preserve">ctive institutions, </w:t>
            </w:r>
            <w:r w:rsidR="00017662">
              <w:rPr>
                <w:rFonts w:asciiTheme="minorHAnsi" w:hAnsiTheme="minorHAnsi" w:cstheme="minorHAnsi"/>
                <w:sz w:val="22"/>
                <w:szCs w:val="22"/>
              </w:rPr>
              <w:t>is explicit</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987"/>
        </w:trPr>
        <w:tc>
          <w:tcPr>
            <w:tcW w:w="4915" w:type="dxa"/>
            <w:tcBorders>
              <w:bottom w:val="single" w:sz="4" w:space="0" w:color="auto"/>
            </w:tcBorders>
          </w:tcPr>
          <w:p w:rsidR="00A414E8" w:rsidRDefault="00A414E8" w:rsidP="00A414E8">
            <w:pPr>
              <w:pStyle w:val="TableText"/>
              <w:rPr>
                <w:rFonts w:asciiTheme="minorHAnsi" w:hAnsiTheme="minorHAnsi" w:cstheme="minorHAnsi"/>
                <w:sz w:val="22"/>
                <w:szCs w:val="22"/>
              </w:rPr>
            </w:pPr>
            <w:r>
              <w:rPr>
                <w:rFonts w:asciiTheme="minorHAnsi" w:hAnsiTheme="minorHAnsi" w:cstheme="minorHAnsi"/>
                <w:sz w:val="22"/>
                <w:szCs w:val="22"/>
              </w:rPr>
              <w:lastRenderedPageBreak/>
              <w:t>An abridged CV of the external examiner is</w:t>
            </w:r>
            <w:r w:rsidR="00017662">
              <w:rPr>
                <w:rFonts w:asciiTheme="minorHAnsi" w:hAnsiTheme="minorHAnsi" w:cstheme="minorHAnsi"/>
                <w:sz w:val="22"/>
                <w:szCs w:val="22"/>
              </w:rPr>
              <w:t xml:space="preserve"> explicit within the submission</w:t>
            </w:r>
          </w:p>
          <w:p w:rsidR="00A414E8" w:rsidRDefault="00A414E8" w:rsidP="00A414E8">
            <w:pPr>
              <w:pStyle w:val="TableText"/>
              <w:rPr>
                <w:rFonts w:cstheme="minorHAnsi"/>
                <w:sz w:val="22"/>
                <w:szCs w:val="22"/>
              </w:rPr>
            </w:pP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526"/>
        </w:trPr>
        <w:tc>
          <w:tcPr>
            <w:tcW w:w="4915" w:type="dxa"/>
          </w:tcPr>
          <w:p w:rsidR="00A414E8" w:rsidRDefault="00A414E8" w:rsidP="00A414E8">
            <w:pPr>
              <w:pStyle w:val="TableText"/>
              <w:rPr>
                <w:rFonts w:cstheme="minorHAnsi"/>
                <w:sz w:val="22"/>
                <w:szCs w:val="22"/>
              </w:rPr>
            </w:pPr>
            <w:r w:rsidRPr="009224FD">
              <w:rPr>
                <w:rFonts w:asciiTheme="minorHAnsi" w:hAnsiTheme="minorHAnsi" w:cstheme="minorHAnsi"/>
                <w:sz w:val="22"/>
                <w:szCs w:val="22"/>
              </w:rPr>
              <w:t>Education provider policies and procedures relating to credit transfer or the recognition of prior learning that are consistent with National Framework Qualifications (NFQ) national principles</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114"/>
        </w:trPr>
        <w:tc>
          <w:tcPr>
            <w:tcW w:w="4915" w:type="dxa"/>
          </w:tcPr>
          <w:p w:rsidR="00A414E8" w:rsidRPr="00A124B5" w:rsidRDefault="00A124B5" w:rsidP="00A124B5">
            <w:pPr>
              <w:pStyle w:val="TableText"/>
              <w:rPr>
                <w:rFonts w:asciiTheme="minorHAnsi" w:hAnsiTheme="minorHAnsi" w:cstheme="minorHAnsi"/>
                <w:sz w:val="22"/>
                <w:szCs w:val="22"/>
              </w:rPr>
            </w:pPr>
            <w:r w:rsidRPr="009B7EF3">
              <w:rPr>
                <w:rFonts w:asciiTheme="minorHAnsi" w:hAnsiTheme="minorHAnsi" w:cstheme="minorHAnsi"/>
                <w:sz w:val="22"/>
                <w:szCs w:val="22"/>
              </w:rPr>
              <w:t xml:space="preserve">Education provider policies and procedures in relation to mechanisms </w:t>
            </w:r>
            <w:r w:rsidRPr="009B7EF3">
              <w:rPr>
                <w:rStyle w:val="BodyTextChar"/>
                <w:rFonts w:asciiTheme="minorHAnsi" w:hAnsiTheme="minorHAnsi" w:cstheme="minorHAnsi"/>
                <w:sz w:val="22"/>
                <w:szCs w:val="22"/>
              </w:rPr>
              <w:t>and conditions for  transferring to another education provider, interruption in delivery of programme and /or exiting the programme</w:t>
            </w:r>
          </w:p>
        </w:tc>
        <w:tc>
          <w:tcPr>
            <w:tcW w:w="5401" w:type="dxa"/>
          </w:tcPr>
          <w:p w:rsidR="00A414E8"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1563"/>
        </w:trPr>
        <w:tc>
          <w:tcPr>
            <w:tcW w:w="4915" w:type="dxa"/>
          </w:tcPr>
          <w:p w:rsidR="00A124B5" w:rsidRPr="009224FD" w:rsidRDefault="00A124B5" w:rsidP="00A124B5">
            <w:pPr>
              <w:pStyle w:val="TableText"/>
              <w:rPr>
                <w:rFonts w:asciiTheme="minorHAnsi" w:hAnsiTheme="minorHAnsi" w:cstheme="minorHAnsi"/>
                <w:sz w:val="22"/>
                <w:szCs w:val="22"/>
              </w:rPr>
            </w:pPr>
            <w:r w:rsidRPr="009224FD">
              <w:rPr>
                <w:rFonts w:asciiTheme="minorHAnsi" w:hAnsiTheme="minorHAnsi" w:cstheme="minorHAnsi"/>
                <w:sz w:val="22"/>
                <w:szCs w:val="22"/>
              </w:rPr>
              <w:t xml:space="preserve">Particulars in relation to entry criteria are explicit </w:t>
            </w:r>
          </w:p>
          <w:p w:rsidR="00A124B5" w:rsidRDefault="00DF0AD8" w:rsidP="00A124B5">
            <w:pPr>
              <w:pStyle w:val="TableText"/>
              <w:rPr>
                <w:rFonts w:asciiTheme="minorHAnsi" w:hAnsiTheme="minorHAnsi" w:cstheme="minorHAnsi"/>
                <w:sz w:val="22"/>
                <w:szCs w:val="22"/>
              </w:rPr>
            </w:pPr>
            <w:r>
              <w:rPr>
                <w:rFonts w:asciiTheme="minorHAnsi" w:hAnsiTheme="minorHAnsi" w:cstheme="minorHAnsi"/>
                <w:sz w:val="22"/>
                <w:szCs w:val="22"/>
              </w:rPr>
              <w:t>(</w:t>
            </w:r>
            <w:r w:rsidR="00A124B5" w:rsidRPr="009224FD">
              <w:rPr>
                <w:rFonts w:asciiTheme="minorHAnsi" w:hAnsiTheme="minorHAnsi" w:cstheme="minorHAnsi"/>
                <w:b/>
                <w:sz w:val="22"/>
                <w:szCs w:val="22"/>
              </w:rPr>
              <w:t>for example</w:t>
            </w:r>
            <w:r w:rsidR="00A124B5" w:rsidRPr="009224FD">
              <w:rPr>
                <w:rFonts w:asciiTheme="minorHAnsi" w:hAnsiTheme="minorHAnsi" w:cstheme="minorHAnsi"/>
                <w:sz w:val="22"/>
                <w:szCs w:val="22"/>
              </w:rPr>
              <w:t xml:space="preserve"> five years post registration experience and three </w:t>
            </w:r>
            <w:proofErr w:type="spellStart"/>
            <w:r w:rsidR="00A124B5" w:rsidRPr="009224FD">
              <w:rPr>
                <w:rFonts w:asciiTheme="minorHAnsi" w:hAnsiTheme="minorHAnsi" w:cstheme="minorHAnsi"/>
                <w:sz w:val="22"/>
                <w:szCs w:val="22"/>
              </w:rPr>
              <w:t>years experience</w:t>
            </w:r>
            <w:proofErr w:type="spellEnd"/>
            <w:r w:rsidR="00A124B5" w:rsidRPr="009224FD">
              <w:rPr>
                <w:rFonts w:asciiTheme="minorHAnsi" w:hAnsiTheme="minorHAnsi" w:cstheme="minorHAnsi"/>
                <w:sz w:val="22"/>
                <w:szCs w:val="22"/>
              </w:rPr>
              <w:t xml:space="preserve"> in the chosen speciality or registered in a particular division of the register)</w:t>
            </w: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Default="00B57D00" w:rsidP="00A124B5">
            <w:pPr>
              <w:pStyle w:val="TableText"/>
              <w:rPr>
                <w:rFonts w:asciiTheme="minorHAnsi" w:hAnsiTheme="minorHAnsi" w:cstheme="minorHAnsi"/>
                <w:sz w:val="22"/>
                <w:szCs w:val="22"/>
              </w:rPr>
            </w:pPr>
          </w:p>
          <w:p w:rsidR="00B57D00" w:rsidRPr="009224FD" w:rsidRDefault="00B57D00" w:rsidP="00A124B5">
            <w:pPr>
              <w:pStyle w:val="TableText"/>
              <w:rPr>
                <w:rFonts w:asciiTheme="minorHAnsi" w:hAnsiTheme="minorHAnsi" w:cstheme="minorHAnsi"/>
                <w:sz w:val="22"/>
                <w:szCs w:val="22"/>
              </w:rPr>
            </w:pPr>
          </w:p>
        </w:tc>
        <w:tc>
          <w:tcPr>
            <w:tcW w:w="5401" w:type="dxa"/>
          </w:tcPr>
          <w:p w:rsidR="00A414E8" w:rsidRPr="009224FD" w:rsidRDefault="00A414E8" w:rsidP="00A414E8">
            <w:pPr>
              <w:rPr>
                <w:rFonts w:cstheme="minorHAnsi"/>
              </w:rPr>
            </w:pPr>
          </w:p>
        </w:tc>
        <w:tc>
          <w:tcPr>
            <w:tcW w:w="3652" w:type="dxa"/>
            <w:shd w:val="clear" w:color="auto" w:fill="EAFCF3"/>
          </w:tcPr>
          <w:p w:rsidR="00A414E8" w:rsidRPr="009224FD" w:rsidRDefault="00A414E8" w:rsidP="00A414E8">
            <w:pPr>
              <w:pStyle w:val="TableText"/>
              <w:rPr>
                <w:rFonts w:cstheme="minorHAnsi"/>
              </w:rPr>
            </w:pPr>
          </w:p>
        </w:tc>
      </w:tr>
      <w:tr w:rsidR="00A414E8" w:rsidRPr="009224FD" w:rsidTr="00A124B5">
        <w:trPr>
          <w:trHeight w:val="70"/>
        </w:trPr>
        <w:tc>
          <w:tcPr>
            <w:tcW w:w="4915" w:type="dxa"/>
            <w:shd w:val="clear" w:color="auto" w:fill="9BBB59"/>
          </w:tcPr>
          <w:p w:rsidR="00DF0AD8" w:rsidRPr="00DF0AD8" w:rsidRDefault="00DF0AD8" w:rsidP="00DF0AD8">
            <w:pPr>
              <w:pStyle w:val="TableSubheading"/>
              <w:rPr>
                <w:rFonts w:asciiTheme="minorHAnsi" w:hAnsiTheme="minorHAnsi" w:cstheme="minorHAnsi"/>
                <w:sz w:val="22"/>
                <w:szCs w:val="22"/>
              </w:rPr>
            </w:pPr>
            <w:r w:rsidRPr="00DF0AD8">
              <w:rPr>
                <w:rFonts w:asciiTheme="minorHAnsi" w:hAnsiTheme="minorHAnsi" w:cstheme="minorHAnsi"/>
                <w:sz w:val="22"/>
                <w:szCs w:val="22"/>
              </w:rPr>
              <w:lastRenderedPageBreak/>
              <w:t xml:space="preserve">Programme Content (Evidence Based Practice) </w:t>
            </w:r>
          </w:p>
          <w:p w:rsidR="00DF0AD8" w:rsidRPr="00DF0AD8" w:rsidRDefault="00DF0AD8" w:rsidP="00DF0AD8">
            <w:pPr>
              <w:pStyle w:val="TableSubheading"/>
              <w:rPr>
                <w:rFonts w:asciiTheme="minorHAnsi" w:hAnsiTheme="minorHAnsi" w:cstheme="minorHAnsi"/>
                <w:sz w:val="22"/>
                <w:szCs w:val="22"/>
              </w:rPr>
            </w:pPr>
            <w:r w:rsidRPr="00DF0AD8">
              <w:rPr>
                <w:rFonts w:asciiTheme="minorHAnsi" w:hAnsiTheme="minorHAnsi" w:cstheme="minorHAnsi"/>
                <w:sz w:val="22"/>
                <w:szCs w:val="22"/>
              </w:rPr>
              <w:t>And</w:t>
            </w:r>
          </w:p>
          <w:p w:rsidR="00DF0AD8" w:rsidRPr="00DF0AD8" w:rsidRDefault="00DF0AD8" w:rsidP="00DF0AD8">
            <w:pPr>
              <w:pStyle w:val="TableSubheading"/>
              <w:rPr>
                <w:rFonts w:asciiTheme="minorHAnsi" w:hAnsiTheme="minorHAnsi" w:cstheme="minorHAnsi"/>
                <w:b w:val="0"/>
                <w:color w:val="auto"/>
                <w:sz w:val="22"/>
                <w:szCs w:val="22"/>
              </w:rPr>
            </w:pPr>
            <w:r w:rsidRPr="00DF0AD8">
              <w:rPr>
                <w:rFonts w:asciiTheme="minorHAnsi" w:hAnsiTheme="minorHAnsi" w:cstheme="minorHAnsi"/>
                <w:sz w:val="22"/>
                <w:szCs w:val="22"/>
              </w:rPr>
              <w:t xml:space="preserve"> Associated Teaching and Learning Methodologies</w:t>
            </w:r>
          </w:p>
          <w:p w:rsidR="00A414E8" w:rsidRPr="00DF0AD8" w:rsidRDefault="00A414E8" w:rsidP="00A414E8">
            <w:pPr>
              <w:pStyle w:val="TableText"/>
              <w:rPr>
                <w:rFonts w:asciiTheme="minorHAnsi" w:hAnsiTheme="minorHAnsi" w:cstheme="minorHAnsi"/>
                <w:b/>
                <w:color w:val="auto"/>
                <w:sz w:val="22"/>
                <w:szCs w:val="22"/>
              </w:rPr>
            </w:pPr>
          </w:p>
        </w:tc>
        <w:tc>
          <w:tcPr>
            <w:tcW w:w="5401" w:type="dxa"/>
            <w:shd w:val="clear" w:color="auto" w:fill="9BBB59"/>
          </w:tcPr>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 xml:space="preserve">Evidence </w:t>
            </w:r>
          </w:p>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(link to relevant pages in the curriculum document)</w:t>
            </w:r>
          </w:p>
          <w:p w:rsidR="00A414E8" w:rsidRPr="00DF0AD8" w:rsidRDefault="00A414E8" w:rsidP="00A414E8">
            <w:pPr>
              <w:rPr>
                <w:rFonts w:asciiTheme="minorHAnsi" w:hAnsiTheme="minorHAnsi" w:cstheme="minorHAnsi"/>
                <w:sz w:val="22"/>
                <w:szCs w:val="22"/>
              </w:rPr>
            </w:pPr>
          </w:p>
        </w:tc>
        <w:tc>
          <w:tcPr>
            <w:tcW w:w="3652" w:type="dxa"/>
            <w:shd w:val="clear" w:color="auto" w:fill="9BBB59"/>
          </w:tcPr>
          <w:p w:rsidR="00A414E8" w:rsidRPr="00DF0AD8" w:rsidRDefault="00A414E8" w:rsidP="00A414E8">
            <w:pPr>
              <w:pStyle w:val="TableText"/>
              <w:rPr>
                <w:rFonts w:asciiTheme="minorHAnsi" w:hAnsiTheme="minorHAnsi" w:cstheme="minorHAnsi"/>
                <w:sz w:val="22"/>
                <w:szCs w:val="22"/>
              </w:rPr>
            </w:pPr>
            <w:r w:rsidRPr="00DF0AD8">
              <w:rPr>
                <w:rFonts w:asciiTheme="minorHAnsi" w:hAnsiTheme="minorHAnsi" w:cstheme="minorHAnsi"/>
                <w:sz w:val="22"/>
                <w:szCs w:val="22"/>
              </w:rPr>
              <w:t>NMBI use only</w:t>
            </w:r>
          </w:p>
        </w:tc>
      </w:tr>
      <w:tr w:rsidR="00A414E8" w:rsidRPr="009224FD" w:rsidTr="00A124B5">
        <w:tc>
          <w:tcPr>
            <w:tcW w:w="4915" w:type="dxa"/>
            <w:shd w:val="clear" w:color="auto" w:fill="auto"/>
          </w:tcPr>
          <w:p w:rsidR="00A414E8" w:rsidRPr="009224FD" w:rsidRDefault="00A414E8" w:rsidP="00DF0AD8">
            <w:pPr>
              <w:pStyle w:val="TableText"/>
              <w:rPr>
                <w:rFonts w:asciiTheme="minorHAnsi" w:hAnsiTheme="minorHAnsi" w:cstheme="minorHAnsi"/>
                <w:sz w:val="22"/>
                <w:szCs w:val="22"/>
              </w:rPr>
            </w:pPr>
            <w:r w:rsidRPr="009224FD">
              <w:rPr>
                <w:rFonts w:asciiTheme="minorHAnsi" w:hAnsiTheme="minorHAnsi" w:cstheme="minorHAnsi"/>
                <w:sz w:val="22"/>
                <w:szCs w:val="22"/>
              </w:rPr>
              <w:t>Programme structure and delivery modes, including online components are specified</w:t>
            </w:r>
          </w:p>
        </w:tc>
        <w:tc>
          <w:tcPr>
            <w:tcW w:w="5401" w:type="dxa"/>
            <w:shd w:val="clear" w:color="auto" w:fill="auto"/>
          </w:tcPr>
          <w:p w:rsidR="00A414E8" w:rsidRPr="009224FD" w:rsidRDefault="00A414E8" w:rsidP="00A414E8">
            <w:pPr>
              <w:rPr>
                <w:rFonts w:asciiTheme="minorHAnsi" w:hAnsiTheme="minorHAnsi" w:cstheme="minorHAnsi"/>
              </w:rPr>
            </w:pPr>
          </w:p>
        </w:tc>
        <w:tc>
          <w:tcPr>
            <w:tcW w:w="3652" w:type="dxa"/>
            <w:shd w:val="clear" w:color="auto" w:fill="EAFCF3"/>
          </w:tcPr>
          <w:p w:rsidR="00A414E8" w:rsidRPr="009224FD" w:rsidRDefault="00A414E8" w:rsidP="00A414E8">
            <w:pPr>
              <w:pStyle w:val="TableText"/>
              <w:rPr>
                <w:rFonts w:asciiTheme="minorHAnsi" w:hAnsiTheme="minorHAnsi" w:cstheme="minorHAnsi"/>
              </w:rPr>
            </w:pPr>
          </w:p>
        </w:tc>
      </w:tr>
      <w:tr w:rsidR="00A414E8" w:rsidRPr="009224FD" w:rsidTr="00A124B5">
        <w:tc>
          <w:tcPr>
            <w:tcW w:w="4915" w:type="dxa"/>
            <w:shd w:val="clear" w:color="auto" w:fill="auto"/>
          </w:tcPr>
          <w:p w:rsidR="00A414E8" w:rsidRPr="009224FD" w:rsidRDefault="00A414E8" w:rsidP="00DF0AD8">
            <w:pPr>
              <w:pStyle w:val="TableText"/>
              <w:rPr>
                <w:rFonts w:asciiTheme="minorHAnsi" w:hAnsiTheme="minorHAnsi" w:cstheme="minorHAnsi"/>
                <w:sz w:val="22"/>
                <w:szCs w:val="22"/>
              </w:rPr>
            </w:pPr>
            <w:r w:rsidRPr="009224FD">
              <w:rPr>
                <w:rFonts w:asciiTheme="minorHAnsi" w:hAnsiTheme="minorHAnsi" w:cstheme="minorHAnsi"/>
                <w:sz w:val="22"/>
                <w:szCs w:val="22"/>
              </w:rPr>
              <w:t>Programme aims, objectives, content, learning outcomes are linked to appropriate assessment methodologies</w:t>
            </w:r>
          </w:p>
        </w:tc>
        <w:tc>
          <w:tcPr>
            <w:tcW w:w="5401" w:type="dxa"/>
            <w:shd w:val="clear" w:color="auto" w:fill="auto"/>
          </w:tcPr>
          <w:p w:rsidR="00A414E8" w:rsidRPr="009224FD" w:rsidRDefault="00A414E8" w:rsidP="00A414E8">
            <w:pPr>
              <w:rPr>
                <w:rFonts w:asciiTheme="minorHAnsi" w:hAnsiTheme="minorHAnsi" w:cstheme="minorHAnsi"/>
              </w:rPr>
            </w:pPr>
          </w:p>
        </w:tc>
        <w:tc>
          <w:tcPr>
            <w:tcW w:w="3652" w:type="dxa"/>
            <w:shd w:val="clear" w:color="auto" w:fill="EAFCF3"/>
          </w:tcPr>
          <w:p w:rsidR="00A414E8" w:rsidRPr="009224FD" w:rsidRDefault="00A414E8" w:rsidP="00A414E8">
            <w:pPr>
              <w:pStyle w:val="TableText"/>
              <w:rPr>
                <w:rFonts w:asciiTheme="minorHAnsi" w:hAnsiTheme="minorHAnsi" w:cstheme="minorHAnsi"/>
              </w:rPr>
            </w:pPr>
          </w:p>
        </w:tc>
      </w:tr>
      <w:tr w:rsidR="00A414E8" w:rsidRPr="009224FD" w:rsidTr="00A124B5">
        <w:tc>
          <w:tcPr>
            <w:tcW w:w="4915" w:type="dxa"/>
            <w:shd w:val="clear" w:color="auto" w:fill="auto"/>
          </w:tcPr>
          <w:p w:rsidR="00A414E8" w:rsidRPr="009224FD" w:rsidRDefault="00A414E8" w:rsidP="00DF0AD8">
            <w:pPr>
              <w:pStyle w:val="BodyText"/>
              <w:ind w:left="85" w:hanging="5"/>
              <w:rPr>
                <w:rFonts w:asciiTheme="minorHAnsi" w:hAnsiTheme="minorHAnsi" w:cstheme="minorHAnsi"/>
              </w:rPr>
            </w:pPr>
            <w:r w:rsidRPr="009224FD">
              <w:rPr>
                <w:rFonts w:asciiTheme="minorHAnsi" w:hAnsiTheme="minorHAnsi" w:cstheme="minorHAnsi"/>
                <w:sz w:val="22"/>
                <w:szCs w:val="22"/>
              </w:rPr>
              <w:t xml:space="preserve">The programme is based on a range of teaching-learning strategies to assist the development of a knowledgeable, safe and competent practitioner and to equip him/her with the lifelong skills for problem solving and </w:t>
            </w:r>
            <w:r w:rsidR="00AC66D5" w:rsidRPr="009224FD">
              <w:rPr>
                <w:rFonts w:asciiTheme="minorHAnsi" w:hAnsiTheme="minorHAnsi" w:cstheme="minorHAnsi"/>
                <w:sz w:val="22"/>
                <w:szCs w:val="22"/>
              </w:rPr>
              <w:t>self-directed</w:t>
            </w:r>
            <w:r w:rsidRPr="009224FD">
              <w:rPr>
                <w:rFonts w:asciiTheme="minorHAnsi" w:hAnsiTheme="minorHAnsi" w:cstheme="minorHAnsi"/>
                <w:sz w:val="22"/>
                <w:szCs w:val="22"/>
              </w:rPr>
              <w:t xml:space="preserve"> learning</w:t>
            </w:r>
          </w:p>
        </w:tc>
        <w:tc>
          <w:tcPr>
            <w:tcW w:w="5401" w:type="dxa"/>
            <w:shd w:val="clear" w:color="auto" w:fill="auto"/>
          </w:tcPr>
          <w:p w:rsidR="00A414E8" w:rsidRPr="00A124B5" w:rsidRDefault="00A414E8" w:rsidP="00A414E8">
            <w:pPr>
              <w:pStyle w:val="TableText"/>
              <w:rPr>
                <w:rFonts w:asciiTheme="minorHAnsi" w:hAnsiTheme="minorHAnsi" w:cstheme="minorHAnsi"/>
                <w:sz w:val="22"/>
                <w:szCs w:val="22"/>
              </w:rPr>
            </w:pPr>
          </w:p>
        </w:tc>
        <w:tc>
          <w:tcPr>
            <w:tcW w:w="3652" w:type="dxa"/>
            <w:shd w:val="clear" w:color="auto" w:fill="EAFCF3"/>
          </w:tcPr>
          <w:p w:rsidR="00A414E8" w:rsidRPr="009224FD" w:rsidRDefault="00A414E8" w:rsidP="00A414E8">
            <w:pPr>
              <w:pStyle w:val="TableText"/>
              <w:rPr>
                <w:rFonts w:asciiTheme="minorHAnsi" w:hAnsiTheme="minorHAnsi" w:cstheme="minorHAnsi"/>
              </w:rPr>
            </w:pPr>
          </w:p>
        </w:tc>
      </w:tr>
      <w:tr w:rsidR="00A414E8" w:rsidRPr="009224FD" w:rsidTr="00A124B5">
        <w:tc>
          <w:tcPr>
            <w:tcW w:w="4915" w:type="dxa"/>
            <w:shd w:val="clear" w:color="auto" w:fill="9BBB59"/>
          </w:tcPr>
          <w:p w:rsidR="00A414E8" w:rsidRPr="00DF0AD8" w:rsidRDefault="00DF0AD8" w:rsidP="00DF0AD8">
            <w:pPr>
              <w:pStyle w:val="BodyText"/>
              <w:ind w:left="147" w:hanging="5"/>
              <w:jc w:val="center"/>
              <w:rPr>
                <w:rFonts w:asciiTheme="minorHAnsi" w:hAnsiTheme="minorHAnsi" w:cstheme="minorHAnsi"/>
                <w:b/>
              </w:rPr>
            </w:pPr>
            <w:r w:rsidRPr="00DF0AD8">
              <w:rPr>
                <w:rFonts w:asciiTheme="minorHAnsi" w:hAnsiTheme="minorHAnsi" w:cstheme="minorHAnsi"/>
                <w:b/>
                <w:sz w:val="22"/>
                <w:szCs w:val="22"/>
              </w:rPr>
              <w:t>Quality Improvement and Risk management</w:t>
            </w:r>
          </w:p>
        </w:tc>
        <w:tc>
          <w:tcPr>
            <w:tcW w:w="5401" w:type="dxa"/>
            <w:shd w:val="clear" w:color="auto" w:fill="9BBB59"/>
          </w:tcPr>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 xml:space="preserve">Evidence </w:t>
            </w:r>
          </w:p>
          <w:p w:rsidR="00A414E8" w:rsidRPr="00DF0AD8" w:rsidRDefault="00A414E8" w:rsidP="00A414E8">
            <w:pPr>
              <w:pStyle w:val="TableSubheading"/>
              <w:rPr>
                <w:rFonts w:asciiTheme="minorHAnsi" w:hAnsiTheme="minorHAnsi" w:cstheme="minorHAnsi"/>
                <w:color w:val="auto"/>
                <w:sz w:val="22"/>
                <w:szCs w:val="22"/>
              </w:rPr>
            </w:pPr>
            <w:r w:rsidRPr="00DF0AD8">
              <w:rPr>
                <w:rFonts w:asciiTheme="minorHAnsi" w:hAnsiTheme="minorHAnsi" w:cstheme="minorHAnsi"/>
                <w:color w:val="auto"/>
                <w:sz w:val="22"/>
                <w:szCs w:val="22"/>
              </w:rPr>
              <w:t>(link to relevant pages in the curriculum document)</w:t>
            </w:r>
          </w:p>
          <w:p w:rsidR="00A414E8" w:rsidRPr="00DF0AD8" w:rsidRDefault="00A414E8" w:rsidP="00A414E8">
            <w:pPr>
              <w:pStyle w:val="TableText"/>
              <w:rPr>
                <w:rFonts w:asciiTheme="minorHAnsi" w:hAnsiTheme="minorHAnsi" w:cstheme="minorHAnsi"/>
                <w:sz w:val="22"/>
                <w:szCs w:val="22"/>
              </w:rPr>
            </w:pPr>
          </w:p>
        </w:tc>
        <w:tc>
          <w:tcPr>
            <w:tcW w:w="3652" w:type="dxa"/>
            <w:shd w:val="clear" w:color="auto" w:fill="9BBB59"/>
          </w:tcPr>
          <w:p w:rsidR="00A414E8" w:rsidRPr="00DF0AD8" w:rsidRDefault="00A414E8" w:rsidP="00A414E8">
            <w:pPr>
              <w:pStyle w:val="TableText"/>
              <w:rPr>
                <w:rFonts w:asciiTheme="minorHAnsi" w:hAnsiTheme="minorHAnsi" w:cstheme="minorHAnsi"/>
                <w:sz w:val="22"/>
                <w:szCs w:val="22"/>
              </w:rPr>
            </w:pPr>
            <w:r w:rsidRPr="00DF0AD8">
              <w:rPr>
                <w:rFonts w:asciiTheme="minorHAnsi" w:hAnsiTheme="minorHAnsi" w:cstheme="minorHAnsi"/>
                <w:sz w:val="22"/>
                <w:szCs w:val="22"/>
              </w:rPr>
              <w:t>NMBI use only</w:t>
            </w:r>
          </w:p>
        </w:tc>
      </w:tr>
      <w:tr w:rsidR="00A414E8" w:rsidRPr="009224FD" w:rsidTr="00A124B5">
        <w:tc>
          <w:tcPr>
            <w:tcW w:w="4915" w:type="dxa"/>
            <w:shd w:val="clear" w:color="auto" w:fill="auto"/>
          </w:tcPr>
          <w:p w:rsidR="00A414E8" w:rsidRPr="009224FD" w:rsidRDefault="00A414E8" w:rsidP="00DF0AD8">
            <w:pPr>
              <w:pStyle w:val="TableText"/>
              <w:rPr>
                <w:rFonts w:asciiTheme="minorHAnsi" w:hAnsiTheme="minorHAnsi" w:cstheme="minorHAnsi"/>
                <w:sz w:val="22"/>
                <w:szCs w:val="22"/>
              </w:rPr>
            </w:pPr>
            <w:r w:rsidRPr="009224FD">
              <w:rPr>
                <w:rFonts w:asciiTheme="minorHAnsi" w:hAnsiTheme="minorHAnsi" w:cstheme="minorHAnsi"/>
                <w:sz w:val="22"/>
                <w:szCs w:val="22"/>
              </w:rPr>
              <w:t>Responsibility for control of programme development, monitoring, review, evaluation and quality improvement is explicit</w:t>
            </w:r>
          </w:p>
        </w:tc>
        <w:tc>
          <w:tcPr>
            <w:tcW w:w="5401" w:type="dxa"/>
            <w:shd w:val="clear" w:color="auto" w:fill="auto"/>
          </w:tcPr>
          <w:p w:rsidR="00A414E8" w:rsidRPr="009224FD" w:rsidRDefault="00A414E8" w:rsidP="00A414E8">
            <w:pPr>
              <w:pStyle w:val="TableText"/>
              <w:rPr>
                <w:rFonts w:asciiTheme="minorHAnsi" w:hAnsiTheme="minorHAnsi" w:cstheme="minorHAnsi"/>
                <w:sz w:val="24"/>
                <w:szCs w:val="24"/>
              </w:rPr>
            </w:pPr>
          </w:p>
        </w:tc>
        <w:tc>
          <w:tcPr>
            <w:tcW w:w="3652" w:type="dxa"/>
            <w:shd w:val="clear" w:color="auto" w:fill="EAFCF3"/>
          </w:tcPr>
          <w:p w:rsidR="00A414E8" w:rsidRPr="009224FD" w:rsidRDefault="00A414E8" w:rsidP="00A414E8">
            <w:pPr>
              <w:pStyle w:val="TableText"/>
              <w:rPr>
                <w:rFonts w:asciiTheme="minorHAnsi" w:hAnsiTheme="minorHAnsi" w:cstheme="minorHAnsi"/>
              </w:rPr>
            </w:pPr>
          </w:p>
        </w:tc>
      </w:tr>
      <w:tr w:rsidR="00A414E8" w:rsidRPr="009224FD" w:rsidTr="00A124B5">
        <w:tc>
          <w:tcPr>
            <w:tcW w:w="4915" w:type="dxa"/>
            <w:shd w:val="clear" w:color="auto" w:fill="auto"/>
          </w:tcPr>
          <w:p w:rsidR="00A414E8" w:rsidRDefault="00A414E8" w:rsidP="00DF0AD8">
            <w:pPr>
              <w:pStyle w:val="TableText"/>
              <w:rPr>
                <w:rFonts w:asciiTheme="minorHAnsi" w:hAnsiTheme="minorHAnsi" w:cstheme="minorHAnsi"/>
                <w:sz w:val="22"/>
                <w:szCs w:val="22"/>
              </w:rPr>
            </w:pPr>
            <w:r w:rsidRPr="009224FD">
              <w:rPr>
                <w:rFonts w:asciiTheme="minorHAnsi" w:hAnsiTheme="minorHAnsi" w:cstheme="minorHAnsi"/>
                <w:sz w:val="22"/>
                <w:szCs w:val="22"/>
              </w:rPr>
              <w:t>Processes for regular programme review, incorporating feedback from students, academic staff, clinical supervisors/mentors,  clinical assessors, others contribute to programme improvement that improves the experience of theory and practice learning for students</w:t>
            </w:r>
          </w:p>
          <w:p w:rsidR="00B57D00" w:rsidRPr="009224FD" w:rsidRDefault="00B57D00" w:rsidP="00DF0AD8">
            <w:pPr>
              <w:pStyle w:val="TableText"/>
              <w:rPr>
                <w:rFonts w:asciiTheme="minorHAnsi" w:hAnsiTheme="minorHAnsi" w:cstheme="minorHAnsi"/>
                <w:sz w:val="22"/>
                <w:szCs w:val="22"/>
              </w:rPr>
            </w:pPr>
          </w:p>
        </w:tc>
        <w:tc>
          <w:tcPr>
            <w:tcW w:w="5401" w:type="dxa"/>
            <w:shd w:val="clear" w:color="auto" w:fill="auto"/>
          </w:tcPr>
          <w:p w:rsidR="00A414E8" w:rsidRPr="009224FD" w:rsidRDefault="00A414E8" w:rsidP="00A414E8">
            <w:pPr>
              <w:pStyle w:val="TableText"/>
              <w:rPr>
                <w:rFonts w:asciiTheme="minorHAnsi" w:hAnsiTheme="minorHAnsi" w:cstheme="minorHAnsi"/>
                <w:sz w:val="24"/>
                <w:szCs w:val="24"/>
              </w:rPr>
            </w:pPr>
          </w:p>
        </w:tc>
        <w:tc>
          <w:tcPr>
            <w:tcW w:w="3652" w:type="dxa"/>
            <w:shd w:val="clear" w:color="auto" w:fill="EAFCF3"/>
          </w:tcPr>
          <w:p w:rsidR="00A414E8" w:rsidRPr="009224FD" w:rsidRDefault="00A414E8" w:rsidP="00A414E8">
            <w:pPr>
              <w:pStyle w:val="TableText"/>
              <w:rPr>
                <w:rFonts w:asciiTheme="minorHAnsi" w:hAnsiTheme="minorHAnsi" w:cstheme="minorHAnsi"/>
              </w:rPr>
            </w:pPr>
          </w:p>
        </w:tc>
      </w:tr>
      <w:tr w:rsidR="00A414E8" w:rsidRPr="009224FD" w:rsidTr="00A124B5">
        <w:tc>
          <w:tcPr>
            <w:tcW w:w="4915" w:type="dxa"/>
            <w:shd w:val="clear" w:color="auto" w:fill="auto"/>
          </w:tcPr>
          <w:p w:rsidR="00A414E8" w:rsidRPr="00FB3136" w:rsidRDefault="00A414E8" w:rsidP="00DF0AD8">
            <w:pPr>
              <w:pStyle w:val="TableText"/>
              <w:rPr>
                <w:rFonts w:asciiTheme="minorHAnsi" w:hAnsiTheme="minorHAnsi" w:cstheme="minorHAnsi"/>
                <w:sz w:val="24"/>
                <w:szCs w:val="24"/>
              </w:rPr>
            </w:pPr>
            <w:r w:rsidRPr="009224FD">
              <w:rPr>
                <w:rFonts w:asciiTheme="minorHAnsi" w:hAnsiTheme="minorHAnsi" w:cstheme="minorHAnsi"/>
                <w:sz w:val="22"/>
                <w:szCs w:val="22"/>
              </w:rPr>
              <w:t xml:space="preserve">Regular evaluation and revision of programme </w:t>
            </w:r>
            <w:r w:rsidRPr="009224FD">
              <w:rPr>
                <w:rFonts w:asciiTheme="minorHAnsi" w:hAnsiTheme="minorHAnsi" w:cstheme="minorHAnsi"/>
                <w:sz w:val="22"/>
                <w:szCs w:val="22"/>
              </w:rPr>
              <w:lastRenderedPageBreak/>
              <w:t xml:space="preserve">content to include current and emerging issues, national and international health and social policy </w:t>
            </w:r>
          </w:p>
        </w:tc>
        <w:tc>
          <w:tcPr>
            <w:tcW w:w="5401" w:type="dxa"/>
            <w:shd w:val="clear" w:color="auto" w:fill="auto"/>
          </w:tcPr>
          <w:p w:rsidR="00A414E8" w:rsidRPr="009224FD" w:rsidRDefault="00A414E8" w:rsidP="00A414E8">
            <w:pPr>
              <w:pStyle w:val="TableText"/>
              <w:rPr>
                <w:rFonts w:asciiTheme="minorHAnsi" w:hAnsiTheme="minorHAnsi" w:cstheme="minorHAnsi"/>
                <w:sz w:val="24"/>
                <w:szCs w:val="24"/>
              </w:rPr>
            </w:pPr>
          </w:p>
        </w:tc>
        <w:tc>
          <w:tcPr>
            <w:tcW w:w="3652" w:type="dxa"/>
            <w:shd w:val="clear" w:color="auto" w:fill="EAFCF3"/>
          </w:tcPr>
          <w:p w:rsidR="00A414E8" w:rsidRPr="009224FD" w:rsidRDefault="00A414E8" w:rsidP="00A414E8">
            <w:pPr>
              <w:pStyle w:val="TableText"/>
              <w:rPr>
                <w:rFonts w:asciiTheme="minorHAnsi" w:hAnsiTheme="minorHAnsi" w:cstheme="minorHAnsi"/>
              </w:rPr>
            </w:pPr>
          </w:p>
        </w:tc>
      </w:tr>
      <w:tr w:rsidR="00A124B5" w:rsidRPr="009224FD" w:rsidTr="00A124B5">
        <w:tc>
          <w:tcPr>
            <w:tcW w:w="4915" w:type="dxa"/>
            <w:shd w:val="clear" w:color="auto" w:fill="auto"/>
          </w:tcPr>
          <w:p w:rsidR="00A124B5" w:rsidRPr="0004728C" w:rsidRDefault="00A124B5" w:rsidP="00DF0AD8">
            <w:pPr>
              <w:pStyle w:val="TableText"/>
              <w:rPr>
                <w:rFonts w:asciiTheme="minorHAnsi" w:hAnsiTheme="minorHAnsi" w:cstheme="minorHAnsi"/>
                <w:color w:val="auto"/>
                <w:sz w:val="22"/>
                <w:szCs w:val="22"/>
              </w:rPr>
            </w:pPr>
            <w:r w:rsidRPr="0004728C">
              <w:rPr>
                <w:rFonts w:asciiTheme="minorHAnsi" w:hAnsiTheme="minorHAnsi" w:cstheme="minorHAnsi"/>
                <w:color w:val="auto"/>
                <w:sz w:val="22"/>
                <w:szCs w:val="22"/>
              </w:rPr>
              <w:lastRenderedPageBreak/>
              <w:t xml:space="preserve">The </w:t>
            </w:r>
            <w:r w:rsidR="00B569D9">
              <w:rPr>
                <w:rFonts w:asciiTheme="minorHAnsi" w:hAnsiTheme="minorHAnsi" w:cstheme="minorHAnsi"/>
                <w:color w:val="auto"/>
                <w:sz w:val="22"/>
                <w:szCs w:val="22"/>
              </w:rPr>
              <w:t>programme</w:t>
            </w:r>
            <w:r w:rsidRPr="0004728C">
              <w:rPr>
                <w:rFonts w:asciiTheme="minorHAnsi" w:hAnsiTheme="minorHAnsi" w:cstheme="minorHAnsi"/>
                <w:color w:val="auto"/>
                <w:sz w:val="22"/>
                <w:szCs w:val="22"/>
              </w:rPr>
              <w:t>/units of learning design include an evaluation strategy which captures evaluation feedback from a broad range of stakeholders including the student, the c</w:t>
            </w:r>
            <w:r w:rsidR="00017662">
              <w:rPr>
                <w:rFonts w:asciiTheme="minorHAnsi" w:hAnsiTheme="minorHAnsi" w:cstheme="minorHAnsi"/>
                <w:color w:val="auto"/>
                <w:sz w:val="22"/>
                <w:szCs w:val="22"/>
              </w:rPr>
              <w:t>linical sites and service users</w:t>
            </w:r>
          </w:p>
          <w:p w:rsidR="00A124B5" w:rsidRPr="0004728C" w:rsidRDefault="00A124B5" w:rsidP="00DF0AD8">
            <w:pPr>
              <w:pStyle w:val="TableText"/>
              <w:rPr>
                <w:rFonts w:asciiTheme="minorHAnsi" w:hAnsiTheme="minorHAnsi" w:cstheme="minorHAnsi"/>
                <w:color w:val="auto"/>
                <w:sz w:val="22"/>
                <w:szCs w:val="22"/>
              </w:rPr>
            </w:pPr>
          </w:p>
          <w:p w:rsidR="00A124B5" w:rsidRPr="00D76078" w:rsidRDefault="00A124B5" w:rsidP="00DF0AD8">
            <w:pPr>
              <w:pStyle w:val="BodyText"/>
              <w:ind w:left="85"/>
              <w:rPr>
                <w:rFonts w:asciiTheme="minorHAnsi" w:hAnsiTheme="minorHAnsi" w:cstheme="minorHAnsi"/>
                <w:color w:val="4F81BD" w:themeColor="accent1"/>
                <w:sz w:val="24"/>
                <w:szCs w:val="24"/>
              </w:rPr>
            </w:pPr>
          </w:p>
        </w:tc>
        <w:tc>
          <w:tcPr>
            <w:tcW w:w="5401" w:type="dxa"/>
            <w:shd w:val="clear" w:color="auto" w:fill="auto"/>
          </w:tcPr>
          <w:p w:rsidR="00A124B5" w:rsidRPr="009224FD" w:rsidRDefault="00A124B5" w:rsidP="00A414E8">
            <w:pPr>
              <w:pStyle w:val="TableText"/>
              <w:rPr>
                <w:rFonts w:asciiTheme="minorHAnsi" w:hAnsiTheme="minorHAnsi" w:cstheme="minorHAnsi"/>
                <w:sz w:val="24"/>
                <w:szCs w:val="24"/>
              </w:rPr>
            </w:pPr>
          </w:p>
        </w:tc>
        <w:tc>
          <w:tcPr>
            <w:tcW w:w="3652" w:type="dxa"/>
            <w:shd w:val="clear" w:color="auto" w:fill="EAFCF3"/>
          </w:tcPr>
          <w:p w:rsidR="00A124B5" w:rsidRPr="009224FD" w:rsidRDefault="00A124B5" w:rsidP="00A414E8">
            <w:pPr>
              <w:pStyle w:val="TableText"/>
              <w:rPr>
                <w:rFonts w:asciiTheme="minorHAnsi" w:hAnsiTheme="minorHAnsi" w:cstheme="minorHAnsi"/>
              </w:rPr>
            </w:pPr>
          </w:p>
        </w:tc>
      </w:tr>
    </w:tbl>
    <w:p w:rsidR="009224FD" w:rsidRPr="009224FD" w:rsidRDefault="009224FD" w:rsidP="009224FD">
      <w:pPr>
        <w:pStyle w:val="Heading1"/>
        <w:rPr>
          <w:rFonts w:asciiTheme="minorHAnsi" w:hAnsiTheme="minorHAnsi" w:cstheme="minorHAnsi"/>
        </w:rPr>
      </w:pPr>
      <w:r w:rsidRPr="009224FD">
        <w:rPr>
          <w:rFonts w:asciiTheme="minorHAnsi" w:hAnsiTheme="minorHAnsi" w:cstheme="minorHAnsi"/>
        </w:rPr>
        <w:lastRenderedPageBreak/>
        <w:t>Standards and Requirements</w:t>
      </w:r>
      <w:bookmarkEnd w:id="1"/>
      <w:bookmarkEnd w:id="2"/>
      <w:r w:rsidRPr="009224FD">
        <w:rPr>
          <w:rStyle w:val="FootnoteReference"/>
          <w:rFonts w:asciiTheme="minorHAnsi" w:hAnsiTheme="minorHAnsi" w:cstheme="minorHAnsi"/>
        </w:rPr>
        <w:footnoteReference w:id="1"/>
      </w:r>
    </w:p>
    <w:p w:rsidR="009224FD" w:rsidRPr="009224FD" w:rsidRDefault="009224FD" w:rsidP="0095780B">
      <w:pPr>
        <w:pStyle w:val="BodyText"/>
        <w:jc w:val="both"/>
        <w:rPr>
          <w:rFonts w:cstheme="minorHAnsi"/>
        </w:rPr>
      </w:pPr>
      <w:r w:rsidRPr="009224FD">
        <w:rPr>
          <w:rFonts w:cstheme="minorHAnsi"/>
        </w:rPr>
        <w:t>The education provider must provide evidence that the post-registration education programme demonstrates the highest standards of professional education  &amp; training to student, which enable them to meet the learning outcomes, with due regard to issues such as evolving public or service need, clinical audit, patient safety, educational  and  clinical quality and student access.</w:t>
      </w:r>
    </w:p>
    <w:p w:rsidR="009224FD" w:rsidRPr="009224FD" w:rsidRDefault="009224FD" w:rsidP="009224FD">
      <w:pPr>
        <w:pStyle w:val="BodyText"/>
        <w:rPr>
          <w:rFonts w:cstheme="minorHAnsi"/>
        </w:rPr>
      </w:pPr>
    </w:p>
    <w:tbl>
      <w:tblPr>
        <w:tblStyle w:val="ANMAC2"/>
        <w:tblW w:w="4998" w:type="pct"/>
        <w:tblLayout w:type="fixed"/>
        <w:tblLook w:val="04A0" w:firstRow="1" w:lastRow="0" w:firstColumn="1" w:lastColumn="0" w:noHBand="0" w:noVBand="1"/>
      </w:tblPr>
      <w:tblGrid>
        <w:gridCol w:w="4656"/>
        <w:gridCol w:w="9306"/>
      </w:tblGrid>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Decision of the Education Officer </w:t>
            </w:r>
          </w:p>
        </w:tc>
        <w:tc>
          <w:tcPr>
            <w:tcW w:w="6020" w:type="dxa"/>
            <w:shd w:val="clear" w:color="auto" w:fill="EAFCF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 xml:space="preserve">Decision of the Chief Education Officer </w:t>
            </w:r>
          </w:p>
        </w:tc>
        <w:tc>
          <w:tcPr>
            <w:tcW w:w="6020" w:type="dxa"/>
            <w:shd w:val="clear" w:color="auto" w:fill="EAFCF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Decision of Validation and Standards Committee</w:t>
            </w:r>
          </w:p>
        </w:tc>
        <w:tc>
          <w:tcPr>
            <w:tcW w:w="6020" w:type="dxa"/>
            <w:shd w:val="clear" w:color="auto" w:fill="EAFCF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Decision of Education and Training Committee</w:t>
            </w:r>
          </w:p>
        </w:tc>
        <w:tc>
          <w:tcPr>
            <w:tcW w:w="6020" w:type="dxa"/>
            <w:shd w:val="clear" w:color="auto" w:fill="EAFCF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4FD" w:rsidRPr="009224FD" w:rsidTr="009224FD">
        <w:tc>
          <w:tcPr>
            <w:cnfStyle w:val="001000000000" w:firstRow="0" w:lastRow="0" w:firstColumn="1" w:lastColumn="0" w:oddVBand="0" w:evenVBand="0" w:oddHBand="0" w:evenHBand="0" w:firstRowFirstColumn="0" w:firstRowLastColumn="0" w:lastRowFirstColumn="0" w:lastRowLastColumn="0"/>
            <w:tcW w:w="3012" w:type="dxa"/>
          </w:tcPr>
          <w:p w:rsidR="009224FD" w:rsidRPr="009224FD" w:rsidRDefault="009224FD" w:rsidP="009224FD">
            <w:pPr>
              <w:pStyle w:val="TableSubheading"/>
              <w:keepNext w:val="0"/>
              <w:keepLines w:val="0"/>
              <w:jc w:val="left"/>
              <w:rPr>
                <w:rFonts w:asciiTheme="minorHAnsi" w:hAnsiTheme="minorHAnsi" w:cstheme="minorHAnsi"/>
              </w:rPr>
            </w:pPr>
            <w:r w:rsidRPr="009224FD">
              <w:rPr>
                <w:rFonts w:asciiTheme="minorHAnsi" w:hAnsiTheme="minorHAnsi" w:cstheme="minorHAnsi"/>
              </w:rPr>
              <w:t>Decision of the NMBI Board</w:t>
            </w:r>
          </w:p>
        </w:tc>
        <w:tc>
          <w:tcPr>
            <w:tcW w:w="6020" w:type="dxa"/>
            <w:shd w:val="clear" w:color="auto" w:fill="EAFCF3"/>
          </w:tcPr>
          <w:p w:rsidR="009224FD" w:rsidRPr="009224FD" w:rsidRDefault="009224FD" w:rsidP="009224F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224FD" w:rsidRPr="009224FD" w:rsidRDefault="009224FD" w:rsidP="009224FD">
      <w:pPr>
        <w:pStyle w:val="BodyText"/>
        <w:rPr>
          <w:rFonts w:cstheme="minorHAnsi"/>
        </w:rPr>
      </w:pPr>
    </w:p>
    <w:tbl>
      <w:tblPr>
        <w:tblStyle w:val="TableGrid"/>
        <w:tblW w:w="5000" w:type="pct"/>
        <w:tblLayout w:type="fixed"/>
        <w:tblLook w:val="04A0" w:firstRow="1" w:lastRow="0" w:firstColumn="1" w:lastColumn="0" w:noHBand="0" w:noVBand="1"/>
      </w:tblPr>
      <w:tblGrid>
        <w:gridCol w:w="13958"/>
      </w:tblGrid>
      <w:tr w:rsidR="009224FD" w:rsidRPr="00B569D9" w:rsidTr="009224FD">
        <w:tc>
          <w:tcPr>
            <w:tcW w:w="13958" w:type="dxa"/>
            <w:shd w:val="clear" w:color="auto" w:fill="auto"/>
          </w:tcPr>
          <w:p w:rsidR="00EE0EF3" w:rsidRPr="00B569D9" w:rsidRDefault="009224FD" w:rsidP="009224FD">
            <w:pPr>
              <w:pStyle w:val="BoxText"/>
              <w:rPr>
                <w:rFonts w:asciiTheme="minorHAnsi" w:hAnsiTheme="minorHAnsi" w:cstheme="minorHAnsi"/>
                <w:color w:val="1F497D" w:themeColor="text2"/>
              </w:rPr>
            </w:pPr>
            <w:r w:rsidRPr="00B569D9">
              <w:rPr>
                <w:rFonts w:asciiTheme="minorHAnsi" w:hAnsiTheme="minorHAnsi" w:cstheme="minorHAnsi"/>
                <w:color w:val="1F497D" w:themeColor="text2"/>
              </w:rPr>
              <w:br w:type="page"/>
            </w:r>
          </w:p>
          <w:tbl>
            <w:tblPr>
              <w:tblStyle w:val="ANMAC2"/>
              <w:tblW w:w="4998" w:type="pct"/>
              <w:tblLayout w:type="fixed"/>
              <w:tblLook w:val="04A0" w:firstRow="1" w:lastRow="0" w:firstColumn="1" w:lastColumn="0" w:noHBand="0" w:noVBand="1"/>
            </w:tblPr>
            <w:tblGrid>
              <w:gridCol w:w="4649"/>
              <w:gridCol w:w="9293"/>
            </w:tblGrid>
            <w:tr w:rsidR="00EE0EF3" w:rsidRPr="00B569D9" w:rsidTr="00D86BE9">
              <w:tc>
                <w:tcPr>
                  <w:cnfStyle w:val="001000000000" w:firstRow="0" w:lastRow="0" w:firstColumn="1" w:lastColumn="0" w:oddVBand="0" w:evenVBand="0" w:oddHBand="0" w:evenHBand="0" w:firstRowFirstColumn="0" w:firstRowLastColumn="0" w:lastRowFirstColumn="0" w:lastRowLastColumn="0"/>
                  <w:tcW w:w="3012" w:type="dxa"/>
                </w:tcPr>
                <w:p w:rsidR="00EE0EF3" w:rsidRPr="00B569D9" w:rsidRDefault="00EE0EF3" w:rsidP="00D86BE9">
                  <w:pPr>
                    <w:pStyle w:val="TableText"/>
                    <w:rPr>
                      <w:rFonts w:asciiTheme="minorHAnsi" w:hAnsiTheme="minorHAnsi" w:cstheme="minorHAnsi"/>
                      <w:b/>
                      <w:color w:val="1F497D" w:themeColor="text2"/>
                    </w:rPr>
                  </w:pPr>
                  <w:r w:rsidRPr="00B569D9">
                    <w:rPr>
                      <w:rFonts w:asciiTheme="minorHAnsi" w:hAnsiTheme="minorHAnsi" w:cstheme="minorHAnsi"/>
                      <w:b/>
                      <w:color w:val="1F497D" w:themeColor="text2"/>
                    </w:rPr>
                    <w:t>Approval period start date:</w:t>
                  </w:r>
                </w:p>
                <w:p w:rsidR="00EE0EF3" w:rsidRPr="00B569D9" w:rsidRDefault="00EE0EF3" w:rsidP="00D86BE9">
                  <w:pPr>
                    <w:pStyle w:val="TableText"/>
                    <w:rPr>
                      <w:rFonts w:asciiTheme="minorHAnsi" w:hAnsiTheme="minorHAnsi" w:cstheme="minorHAnsi"/>
                      <w:color w:val="1F497D" w:themeColor="text2"/>
                    </w:rPr>
                  </w:pPr>
                  <w:r w:rsidRPr="00B569D9">
                    <w:rPr>
                      <w:rFonts w:asciiTheme="minorHAnsi" w:hAnsiTheme="minorHAnsi" w:cstheme="minorHAnsi"/>
                      <w:b/>
                      <w:color w:val="1F497D" w:themeColor="text2"/>
                    </w:rPr>
                    <w:t>Approval period expiry date:</w:t>
                  </w:r>
                </w:p>
              </w:tc>
              <w:tc>
                <w:tcPr>
                  <w:tcW w:w="6020" w:type="dxa"/>
                  <w:shd w:val="clear" w:color="auto" w:fill="DBE5F1" w:themeFill="accent1" w:themeFillTint="33"/>
                </w:tcPr>
                <w:p w:rsidR="00EE0EF3" w:rsidRPr="00B569D9" w:rsidRDefault="00EE0EF3" w:rsidP="00D86BE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p>
                <w:p w:rsidR="00EE0EF3" w:rsidRPr="00B569D9" w:rsidRDefault="00EE0EF3" w:rsidP="00D86BE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p>
              </w:tc>
            </w:tr>
          </w:tbl>
          <w:p w:rsidR="009224FD" w:rsidRPr="00B569D9" w:rsidRDefault="009224FD" w:rsidP="009224FD">
            <w:pPr>
              <w:pStyle w:val="BoxText"/>
              <w:rPr>
                <w:rFonts w:asciiTheme="minorHAnsi" w:hAnsiTheme="minorHAnsi" w:cstheme="minorHAnsi"/>
                <w:color w:val="1F497D" w:themeColor="text2"/>
              </w:rPr>
            </w:pPr>
          </w:p>
        </w:tc>
      </w:tr>
    </w:tbl>
    <w:p w:rsidR="009224FD" w:rsidRPr="00B569D9" w:rsidRDefault="009224FD" w:rsidP="009224FD">
      <w:pPr>
        <w:pStyle w:val="BodyText"/>
        <w:rPr>
          <w:rFonts w:cstheme="minorHAnsi"/>
          <w:color w:val="1F497D" w:themeColor="text2"/>
        </w:rPr>
      </w:pPr>
    </w:p>
    <w:tbl>
      <w:tblPr>
        <w:tblStyle w:val="ANMAC2"/>
        <w:tblW w:w="13897" w:type="dxa"/>
        <w:tblLook w:val="04A0" w:firstRow="1" w:lastRow="0" w:firstColumn="1" w:lastColumn="0" w:noHBand="0" w:noVBand="1"/>
      </w:tblPr>
      <w:tblGrid>
        <w:gridCol w:w="4683"/>
        <w:gridCol w:w="9214"/>
      </w:tblGrid>
      <w:tr w:rsidR="00EE0EF3" w:rsidRPr="00B569D9" w:rsidTr="00EE0EF3">
        <w:tc>
          <w:tcPr>
            <w:cnfStyle w:val="001000000000" w:firstRow="0" w:lastRow="0" w:firstColumn="1" w:lastColumn="0" w:oddVBand="0" w:evenVBand="0" w:oddHBand="0" w:evenHBand="0" w:firstRowFirstColumn="0" w:firstRowLastColumn="0" w:lastRowFirstColumn="0" w:lastRowLastColumn="0"/>
            <w:tcW w:w="4683" w:type="dxa"/>
          </w:tcPr>
          <w:p w:rsidR="00EE0EF3" w:rsidRPr="00B569D9" w:rsidRDefault="00EE0EF3" w:rsidP="00D86BE9">
            <w:pPr>
              <w:pStyle w:val="TableText"/>
              <w:rPr>
                <w:rFonts w:asciiTheme="minorHAnsi" w:hAnsiTheme="minorHAnsi" w:cstheme="minorHAnsi"/>
                <w:b/>
                <w:color w:val="1F497D" w:themeColor="text2"/>
              </w:rPr>
            </w:pPr>
            <w:r w:rsidRPr="00B569D9">
              <w:rPr>
                <w:rFonts w:asciiTheme="minorHAnsi" w:hAnsiTheme="minorHAnsi" w:cstheme="minorHAnsi"/>
                <w:b/>
                <w:color w:val="1F497D" w:themeColor="text2"/>
              </w:rPr>
              <w:t>Summary of course for website:</w:t>
            </w:r>
          </w:p>
        </w:tc>
        <w:tc>
          <w:tcPr>
            <w:tcW w:w="9214" w:type="dxa"/>
            <w:shd w:val="clear" w:color="auto" w:fill="DBE5F1" w:themeFill="accent1" w:themeFillTint="33"/>
          </w:tcPr>
          <w:p w:rsidR="00EE0EF3" w:rsidRPr="00B569D9" w:rsidRDefault="00EE0EF3" w:rsidP="00D86BE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497D" w:themeColor="text2"/>
              </w:rPr>
            </w:pPr>
          </w:p>
          <w:p w:rsidR="00EE0EF3" w:rsidRPr="00B569D9" w:rsidRDefault="00EE0EF3" w:rsidP="00D86BE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497D" w:themeColor="text2"/>
              </w:rPr>
            </w:pPr>
          </w:p>
        </w:tc>
      </w:tr>
    </w:tbl>
    <w:p w:rsidR="009224FD" w:rsidRPr="009224FD" w:rsidRDefault="009224FD" w:rsidP="009224FD">
      <w:pPr>
        <w:rPr>
          <w:rFonts w:cstheme="minorHAnsi"/>
          <w:lang w:val="en-AU"/>
        </w:rPr>
      </w:pPr>
    </w:p>
    <w:sectPr w:rsidR="009224FD" w:rsidRPr="009224FD" w:rsidSect="009224FD">
      <w:headerReference w:type="default" r:id="rId13"/>
      <w:footerReference w:type="default" r:id="rId14"/>
      <w:pgSz w:w="16838" w:h="11906" w:orient="landscape" w:code="9"/>
      <w:pgMar w:top="1276" w:right="1440" w:bottom="1440" w:left="144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38" w:rsidRDefault="00A85338" w:rsidP="009224FD">
      <w:r>
        <w:separator/>
      </w:r>
    </w:p>
  </w:endnote>
  <w:endnote w:type="continuationSeparator" w:id="0">
    <w:p w:rsidR="00A85338" w:rsidRDefault="00A85338" w:rsidP="0092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10996"/>
      <w:docPartObj>
        <w:docPartGallery w:val="Page Numbers (Bottom of Page)"/>
        <w:docPartUnique/>
      </w:docPartObj>
    </w:sdtPr>
    <w:sdtEndPr>
      <w:rPr>
        <w:noProof/>
      </w:rPr>
    </w:sdtEndPr>
    <w:sdtContent>
      <w:p w:rsidR="00DE24B6" w:rsidRDefault="00DE24B6">
        <w:pPr>
          <w:pStyle w:val="Footer"/>
          <w:jc w:val="center"/>
        </w:pPr>
        <w:r>
          <w:fldChar w:fldCharType="begin"/>
        </w:r>
        <w:r>
          <w:instrText xml:space="preserve"> PAGE   \* MERGEFORMAT </w:instrText>
        </w:r>
        <w:r>
          <w:fldChar w:fldCharType="separate"/>
        </w:r>
        <w:r w:rsidR="007D4D05">
          <w:rPr>
            <w:noProof/>
          </w:rPr>
          <w:t>2</w:t>
        </w:r>
        <w:r>
          <w:rPr>
            <w:noProof/>
          </w:rPr>
          <w:fldChar w:fldCharType="end"/>
        </w:r>
      </w:p>
    </w:sdtContent>
  </w:sdt>
  <w:p w:rsidR="00DE24B6" w:rsidRPr="00327CE8" w:rsidRDefault="00DE24B6" w:rsidP="00922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20126"/>
      <w:docPartObj>
        <w:docPartGallery w:val="Page Numbers (Bottom of Page)"/>
        <w:docPartUnique/>
      </w:docPartObj>
    </w:sdtPr>
    <w:sdtEndPr>
      <w:rPr>
        <w:noProof/>
      </w:rPr>
    </w:sdtEndPr>
    <w:sdtContent>
      <w:p w:rsidR="00DE24B6" w:rsidRDefault="00DE24B6">
        <w:pPr>
          <w:pStyle w:val="Footer"/>
          <w:jc w:val="right"/>
        </w:pPr>
        <w:r>
          <w:fldChar w:fldCharType="begin"/>
        </w:r>
        <w:r>
          <w:instrText xml:space="preserve"> PAGE   \* MERGEFORMAT </w:instrText>
        </w:r>
        <w:r>
          <w:fldChar w:fldCharType="separate"/>
        </w:r>
        <w:r w:rsidR="007D4D05">
          <w:rPr>
            <w:noProof/>
          </w:rPr>
          <w:t>19</w:t>
        </w:r>
        <w:r>
          <w:rPr>
            <w:noProof/>
          </w:rPr>
          <w:fldChar w:fldCharType="end"/>
        </w:r>
      </w:p>
    </w:sdtContent>
  </w:sdt>
  <w:p w:rsidR="00DE24B6" w:rsidRDefault="00DE2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38" w:rsidRDefault="00A85338" w:rsidP="009224FD">
      <w:r>
        <w:separator/>
      </w:r>
    </w:p>
  </w:footnote>
  <w:footnote w:type="continuationSeparator" w:id="0">
    <w:p w:rsidR="00A85338" w:rsidRDefault="00A85338" w:rsidP="009224FD">
      <w:r>
        <w:continuationSeparator/>
      </w:r>
    </w:p>
  </w:footnote>
  <w:footnote w:id="1">
    <w:p w:rsidR="00DE24B6" w:rsidRPr="00893F83" w:rsidRDefault="00DE24B6" w:rsidP="009224FD">
      <w:pPr>
        <w:pStyle w:val="FootnoteText"/>
        <w:rPr>
          <w:sz w:val="24"/>
          <w:szCs w:val="24"/>
          <w:lang w:val="en-GB"/>
        </w:rPr>
      </w:pPr>
      <w:r w:rsidRPr="00D67669">
        <w:rPr>
          <w:rStyle w:val="FootnoteReference"/>
          <w:sz w:val="24"/>
          <w:szCs w:val="24"/>
        </w:rPr>
        <w:footnoteRef/>
      </w:r>
      <w:r w:rsidRPr="00D67669">
        <w:rPr>
          <w:sz w:val="24"/>
          <w:szCs w:val="24"/>
        </w:rPr>
        <w:t xml:space="preserve"> </w:t>
      </w:r>
      <w:r w:rsidRPr="00D67669">
        <w:rPr>
          <w:sz w:val="24"/>
          <w:szCs w:val="24"/>
          <w:lang w:val="en-GB"/>
        </w:rPr>
        <w:t xml:space="preserve">An </w:t>
      </w:r>
      <w:proofErr w:type="spellStart"/>
      <w:r w:rsidRPr="00D67669">
        <w:rPr>
          <w:sz w:val="24"/>
          <w:szCs w:val="24"/>
          <w:lang w:val="en-GB"/>
        </w:rPr>
        <w:t>Bord</w:t>
      </w:r>
      <w:proofErr w:type="spellEnd"/>
      <w:r w:rsidRPr="00D67669">
        <w:rPr>
          <w:sz w:val="24"/>
          <w:szCs w:val="24"/>
          <w:lang w:val="en-GB"/>
        </w:rPr>
        <w:t xml:space="preserve"> </w:t>
      </w:r>
      <w:proofErr w:type="spellStart"/>
      <w:r w:rsidRPr="00D67669">
        <w:rPr>
          <w:sz w:val="24"/>
          <w:szCs w:val="24"/>
          <w:lang w:val="en-GB"/>
        </w:rPr>
        <w:t>Altranais</w:t>
      </w:r>
      <w:proofErr w:type="spellEnd"/>
      <w:r w:rsidRPr="00D67669">
        <w:rPr>
          <w:sz w:val="24"/>
          <w:szCs w:val="24"/>
          <w:lang w:val="en-GB"/>
        </w:rPr>
        <w:t xml:space="preserve"> (2010) </w:t>
      </w:r>
      <w:hyperlink r:id="rId1" w:history="1">
        <w:r w:rsidRPr="00C9040E">
          <w:rPr>
            <w:rStyle w:val="Hyperlink"/>
            <w:sz w:val="24"/>
            <w:szCs w:val="24"/>
            <w:u w:val="single"/>
            <w:lang w:val="en-GB"/>
          </w:rPr>
          <w:t>Requirements and Standards for Post-Registration Nursing and Midwifery Education Programme</w:t>
        </w:r>
      </w:hyperlink>
      <w:r w:rsidRPr="00D67669">
        <w:rPr>
          <w:sz w:val="24"/>
          <w:szCs w:val="24"/>
          <w:lang w:val="en-GB"/>
        </w:rPr>
        <w:t xml:space="preserve"> – Incorporating the National Framework of Qualifications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B6" w:rsidRDefault="00DE24B6">
    <w:pPr>
      <w:pStyle w:val="Header"/>
    </w:pPr>
  </w:p>
  <w:p w:rsidR="00DE24B6" w:rsidRDefault="00DE24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EBA"/>
    <w:multiLevelType w:val="hybridMultilevel"/>
    <w:tmpl w:val="E83832C0"/>
    <w:lvl w:ilvl="0" w:tplc="C5C21D8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77524C4"/>
    <w:multiLevelType w:val="hybridMultilevel"/>
    <w:tmpl w:val="334C5D3C"/>
    <w:lvl w:ilvl="0" w:tplc="18090001">
      <w:start w:val="1"/>
      <w:numFmt w:val="bullet"/>
      <w:lvlText w:val=""/>
      <w:lvlJc w:val="left"/>
      <w:pPr>
        <w:ind w:left="805" w:hanging="360"/>
      </w:pPr>
      <w:rPr>
        <w:rFonts w:ascii="Symbol" w:hAnsi="Symbol" w:hint="default"/>
      </w:rPr>
    </w:lvl>
    <w:lvl w:ilvl="1" w:tplc="18090003" w:tentative="1">
      <w:start w:val="1"/>
      <w:numFmt w:val="bullet"/>
      <w:lvlText w:val="o"/>
      <w:lvlJc w:val="left"/>
      <w:pPr>
        <w:ind w:left="1525" w:hanging="360"/>
      </w:pPr>
      <w:rPr>
        <w:rFonts w:ascii="Courier New" w:hAnsi="Courier New" w:cs="Courier New" w:hint="default"/>
      </w:rPr>
    </w:lvl>
    <w:lvl w:ilvl="2" w:tplc="18090005" w:tentative="1">
      <w:start w:val="1"/>
      <w:numFmt w:val="bullet"/>
      <w:lvlText w:val=""/>
      <w:lvlJc w:val="left"/>
      <w:pPr>
        <w:ind w:left="2245" w:hanging="360"/>
      </w:pPr>
      <w:rPr>
        <w:rFonts w:ascii="Wingdings" w:hAnsi="Wingdings" w:hint="default"/>
      </w:rPr>
    </w:lvl>
    <w:lvl w:ilvl="3" w:tplc="18090001" w:tentative="1">
      <w:start w:val="1"/>
      <w:numFmt w:val="bullet"/>
      <w:lvlText w:val=""/>
      <w:lvlJc w:val="left"/>
      <w:pPr>
        <w:ind w:left="2965" w:hanging="360"/>
      </w:pPr>
      <w:rPr>
        <w:rFonts w:ascii="Symbol" w:hAnsi="Symbol" w:hint="default"/>
      </w:rPr>
    </w:lvl>
    <w:lvl w:ilvl="4" w:tplc="18090003" w:tentative="1">
      <w:start w:val="1"/>
      <w:numFmt w:val="bullet"/>
      <w:lvlText w:val="o"/>
      <w:lvlJc w:val="left"/>
      <w:pPr>
        <w:ind w:left="3685" w:hanging="360"/>
      </w:pPr>
      <w:rPr>
        <w:rFonts w:ascii="Courier New" w:hAnsi="Courier New" w:cs="Courier New" w:hint="default"/>
      </w:rPr>
    </w:lvl>
    <w:lvl w:ilvl="5" w:tplc="18090005" w:tentative="1">
      <w:start w:val="1"/>
      <w:numFmt w:val="bullet"/>
      <w:lvlText w:val=""/>
      <w:lvlJc w:val="left"/>
      <w:pPr>
        <w:ind w:left="4405" w:hanging="360"/>
      </w:pPr>
      <w:rPr>
        <w:rFonts w:ascii="Wingdings" w:hAnsi="Wingdings" w:hint="default"/>
      </w:rPr>
    </w:lvl>
    <w:lvl w:ilvl="6" w:tplc="18090001" w:tentative="1">
      <w:start w:val="1"/>
      <w:numFmt w:val="bullet"/>
      <w:lvlText w:val=""/>
      <w:lvlJc w:val="left"/>
      <w:pPr>
        <w:ind w:left="5125" w:hanging="360"/>
      </w:pPr>
      <w:rPr>
        <w:rFonts w:ascii="Symbol" w:hAnsi="Symbol" w:hint="default"/>
      </w:rPr>
    </w:lvl>
    <w:lvl w:ilvl="7" w:tplc="18090003" w:tentative="1">
      <w:start w:val="1"/>
      <w:numFmt w:val="bullet"/>
      <w:lvlText w:val="o"/>
      <w:lvlJc w:val="left"/>
      <w:pPr>
        <w:ind w:left="5845" w:hanging="360"/>
      </w:pPr>
      <w:rPr>
        <w:rFonts w:ascii="Courier New" w:hAnsi="Courier New" w:cs="Courier New" w:hint="default"/>
      </w:rPr>
    </w:lvl>
    <w:lvl w:ilvl="8" w:tplc="18090005" w:tentative="1">
      <w:start w:val="1"/>
      <w:numFmt w:val="bullet"/>
      <w:lvlText w:val=""/>
      <w:lvlJc w:val="left"/>
      <w:pPr>
        <w:ind w:left="6565" w:hanging="360"/>
      </w:pPr>
      <w:rPr>
        <w:rFonts w:ascii="Wingdings" w:hAnsi="Wingdings" w:hint="default"/>
      </w:rPr>
    </w:lvl>
  </w:abstractNum>
  <w:abstractNum w:abstractNumId="2">
    <w:nsid w:val="27CB4262"/>
    <w:multiLevelType w:val="hybridMultilevel"/>
    <w:tmpl w:val="B170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57581"/>
    <w:multiLevelType w:val="hybridMultilevel"/>
    <w:tmpl w:val="61F8DC5A"/>
    <w:lvl w:ilvl="0" w:tplc="18090001">
      <w:start w:val="1"/>
      <w:numFmt w:val="bullet"/>
      <w:lvlText w:val=""/>
      <w:lvlJc w:val="left"/>
      <w:pPr>
        <w:ind w:left="805" w:hanging="360"/>
      </w:pPr>
      <w:rPr>
        <w:rFonts w:ascii="Symbol" w:hAnsi="Symbol" w:hint="default"/>
      </w:rPr>
    </w:lvl>
    <w:lvl w:ilvl="1" w:tplc="18090003" w:tentative="1">
      <w:start w:val="1"/>
      <w:numFmt w:val="bullet"/>
      <w:lvlText w:val="o"/>
      <w:lvlJc w:val="left"/>
      <w:pPr>
        <w:ind w:left="1525" w:hanging="360"/>
      </w:pPr>
      <w:rPr>
        <w:rFonts w:ascii="Courier New" w:hAnsi="Courier New" w:cs="Courier New" w:hint="default"/>
      </w:rPr>
    </w:lvl>
    <w:lvl w:ilvl="2" w:tplc="18090005" w:tentative="1">
      <w:start w:val="1"/>
      <w:numFmt w:val="bullet"/>
      <w:lvlText w:val=""/>
      <w:lvlJc w:val="left"/>
      <w:pPr>
        <w:ind w:left="2245" w:hanging="360"/>
      </w:pPr>
      <w:rPr>
        <w:rFonts w:ascii="Wingdings" w:hAnsi="Wingdings" w:hint="default"/>
      </w:rPr>
    </w:lvl>
    <w:lvl w:ilvl="3" w:tplc="18090001" w:tentative="1">
      <w:start w:val="1"/>
      <w:numFmt w:val="bullet"/>
      <w:lvlText w:val=""/>
      <w:lvlJc w:val="left"/>
      <w:pPr>
        <w:ind w:left="2965" w:hanging="360"/>
      </w:pPr>
      <w:rPr>
        <w:rFonts w:ascii="Symbol" w:hAnsi="Symbol" w:hint="default"/>
      </w:rPr>
    </w:lvl>
    <w:lvl w:ilvl="4" w:tplc="18090003" w:tentative="1">
      <w:start w:val="1"/>
      <w:numFmt w:val="bullet"/>
      <w:lvlText w:val="o"/>
      <w:lvlJc w:val="left"/>
      <w:pPr>
        <w:ind w:left="3685" w:hanging="360"/>
      </w:pPr>
      <w:rPr>
        <w:rFonts w:ascii="Courier New" w:hAnsi="Courier New" w:cs="Courier New" w:hint="default"/>
      </w:rPr>
    </w:lvl>
    <w:lvl w:ilvl="5" w:tplc="18090005" w:tentative="1">
      <w:start w:val="1"/>
      <w:numFmt w:val="bullet"/>
      <w:lvlText w:val=""/>
      <w:lvlJc w:val="left"/>
      <w:pPr>
        <w:ind w:left="4405" w:hanging="360"/>
      </w:pPr>
      <w:rPr>
        <w:rFonts w:ascii="Wingdings" w:hAnsi="Wingdings" w:hint="default"/>
      </w:rPr>
    </w:lvl>
    <w:lvl w:ilvl="6" w:tplc="18090001" w:tentative="1">
      <w:start w:val="1"/>
      <w:numFmt w:val="bullet"/>
      <w:lvlText w:val=""/>
      <w:lvlJc w:val="left"/>
      <w:pPr>
        <w:ind w:left="5125" w:hanging="360"/>
      </w:pPr>
      <w:rPr>
        <w:rFonts w:ascii="Symbol" w:hAnsi="Symbol" w:hint="default"/>
      </w:rPr>
    </w:lvl>
    <w:lvl w:ilvl="7" w:tplc="18090003" w:tentative="1">
      <w:start w:val="1"/>
      <w:numFmt w:val="bullet"/>
      <w:lvlText w:val="o"/>
      <w:lvlJc w:val="left"/>
      <w:pPr>
        <w:ind w:left="5845" w:hanging="360"/>
      </w:pPr>
      <w:rPr>
        <w:rFonts w:ascii="Courier New" w:hAnsi="Courier New" w:cs="Courier New" w:hint="default"/>
      </w:rPr>
    </w:lvl>
    <w:lvl w:ilvl="8" w:tplc="18090005" w:tentative="1">
      <w:start w:val="1"/>
      <w:numFmt w:val="bullet"/>
      <w:lvlText w:val=""/>
      <w:lvlJc w:val="left"/>
      <w:pPr>
        <w:ind w:left="6565" w:hanging="360"/>
      </w:pPr>
      <w:rPr>
        <w:rFonts w:ascii="Wingdings" w:hAnsi="Wingdings" w:hint="default"/>
      </w:rPr>
    </w:lvl>
  </w:abstractNum>
  <w:abstractNum w:abstractNumId="4">
    <w:nsid w:val="46B13080"/>
    <w:multiLevelType w:val="hybridMultilevel"/>
    <w:tmpl w:val="C16CF998"/>
    <w:lvl w:ilvl="0" w:tplc="18090001">
      <w:start w:val="1"/>
      <w:numFmt w:val="bullet"/>
      <w:lvlText w:val=""/>
      <w:lvlJc w:val="left"/>
      <w:pPr>
        <w:ind w:left="445" w:hanging="360"/>
      </w:pPr>
      <w:rPr>
        <w:rFonts w:ascii="Symbol" w:hAnsi="Symbol" w:hint="default"/>
      </w:rPr>
    </w:lvl>
    <w:lvl w:ilvl="1" w:tplc="18090003" w:tentative="1">
      <w:start w:val="1"/>
      <w:numFmt w:val="bullet"/>
      <w:lvlText w:val="o"/>
      <w:lvlJc w:val="left"/>
      <w:pPr>
        <w:ind w:left="1165" w:hanging="360"/>
      </w:pPr>
      <w:rPr>
        <w:rFonts w:ascii="Courier New" w:hAnsi="Courier New" w:cs="Courier New" w:hint="default"/>
      </w:rPr>
    </w:lvl>
    <w:lvl w:ilvl="2" w:tplc="18090005" w:tentative="1">
      <w:start w:val="1"/>
      <w:numFmt w:val="bullet"/>
      <w:lvlText w:val=""/>
      <w:lvlJc w:val="left"/>
      <w:pPr>
        <w:ind w:left="1885" w:hanging="360"/>
      </w:pPr>
      <w:rPr>
        <w:rFonts w:ascii="Wingdings" w:hAnsi="Wingdings" w:hint="default"/>
      </w:rPr>
    </w:lvl>
    <w:lvl w:ilvl="3" w:tplc="18090001" w:tentative="1">
      <w:start w:val="1"/>
      <w:numFmt w:val="bullet"/>
      <w:lvlText w:val=""/>
      <w:lvlJc w:val="left"/>
      <w:pPr>
        <w:ind w:left="2605" w:hanging="360"/>
      </w:pPr>
      <w:rPr>
        <w:rFonts w:ascii="Symbol" w:hAnsi="Symbol" w:hint="default"/>
      </w:rPr>
    </w:lvl>
    <w:lvl w:ilvl="4" w:tplc="18090003" w:tentative="1">
      <w:start w:val="1"/>
      <w:numFmt w:val="bullet"/>
      <w:lvlText w:val="o"/>
      <w:lvlJc w:val="left"/>
      <w:pPr>
        <w:ind w:left="3325" w:hanging="360"/>
      </w:pPr>
      <w:rPr>
        <w:rFonts w:ascii="Courier New" w:hAnsi="Courier New" w:cs="Courier New" w:hint="default"/>
      </w:rPr>
    </w:lvl>
    <w:lvl w:ilvl="5" w:tplc="18090005" w:tentative="1">
      <w:start w:val="1"/>
      <w:numFmt w:val="bullet"/>
      <w:lvlText w:val=""/>
      <w:lvlJc w:val="left"/>
      <w:pPr>
        <w:ind w:left="4045" w:hanging="360"/>
      </w:pPr>
      <w:rPr>
        <w:rFonts w:ascii="Wingdings" w:hAnsi="Wingdings" w:hint="default"/>
      </w:rPr>
    </w:lvl>
    <w:lvl w:ilvl="6" w:tplc="18090001" w:tentative="1">
      <w:start w:val="1"/>
      <w:numFmt w:val="bullet"/>
      <w:lvlText w:val=""/>
      <w:lvlJc w:val="left"/>
      <w:pPr>
        <w:ind w:left="4765" w:hanging="360"/>
      </w:pPr>
      <w:rPr>
        <w:rFonts w:ascii="Symbol" w:hAnsi="Symbol" w:hint="default"/>
      </w:rPr>
    </w:lvl>
    <w:lvl w:ilvl="7" w:tplc="18090003" w:tentative="1">
      <w:start w:val="1"/>
      <w:numFmt w:val="bullet"/>
      <w:lvlText w:val="o"/>
      <w:lvlJc w:val="left"/>
      <w:pPr>
        <w:ind w:left="5485" w:hanging="360"/>
      </w:pPr>
      <w:rPr>
        <w:rFonts w:ascii="Courier New" w:hAnsi="Courier New" w:cs="Courier New" w:hint="default"/>
      </w:rPr>
    </w:lvl>
    <w:lvl w:ilvl="8" w:tplc="18090005" w:tentative="1">
      <w:start w:val="1"/>
      <w:numFmt w:val="bullet"/>
      <w:lvlText w:val=""/>
      <w:lvlJc w:val="left"/>
      <w:pPr>
        <w:ind w:left="6205" w:hanging="360"/>
      </w:pPr>
      <w:rPr>
        <w:rFonts w:ascii="Wingdings" w:hAnsi="Wingdings" w:hint="default"/>
      </w:rPr>
    </w:lvl>
  </w:abstractNum>
  <w:abstractNum w:abstractNumId="5">
    <w:nsid w:val="523E68EA"/>
    <w:multiLevelType w:val="hybridMultilevel"/>
    <w:tmpl w:val="867CC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B6151E"/>
    <w:multiLevelType w:val="hybridMultilevel"/>
    <w:tmpl w:val="0A62B12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E922FCE"/>
    <w:multiLevelType w:val="hybridMultilevel"/>
    <w:tmpl w:val="4AF63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03EFD"/>
    <w:multiLevelType w:val="hybridMultilevel"/>
    <w:tmpl w:val="867CC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0"/>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FD"/>
    <w:rsid w:val="00017662"/>
    <w:rsid w:val="000237E8"/>
    <w:rsid w:val="00033324"/>
    <w:rsid w:val="0004728C"/>
    <w:rsid w:val="0006642F"/>
    <w:rsid w:val="0008287B"/>
    <w:rsid w:val="0009711A"/>
    <w:rsid w:val="001230FC"/>
    <w:rsid w:val="00156E37"/>
    <w:rsid w:val="001D2E0C"/>
    <w:rsid w:val="00286694"/>
    <w:rsid w:val="002A695B"/>
    <w:rsid w:val="002C4F3A"/>
    <w:rsid w:val="003601FC"/>
    <w:rsid w:val="003952BF"/>
    <w:rsid w:val="003B6CFA"/>
    <w:rsid w:val="003E348D"/>
    <w:rsid w:val="003F3C4A"/>
    <w:rsid w:val="00430019"/>
    <w:rsid w:val="00437862"/>
    <w:rsid w:val="004749EC"/>
    <w:rsid w:val="004767B2"/>
    <w:rsid w:val="00485C46"/>
    <w:rsid w:val="004C519D"/>
    <w:rsid w:val="005655BE"/>
    <w:rsid w:val="00583734"/>
    <w:rsid w:val="005A5B2A"/>
    <w:rsid w:val="005D118E"/>
    <w:rsid w:val="005E063C"/>
    <w:rsid w:val="0061203B"/>
    <w:rsid w:val="0066580B"/>
    <w:rsid w:val="0070703A"/>
    <w:rsid w:val="00743D67"/>
    <w:rsid w:val="007528B2"/>
    <w:rsid w:val="007676FD"/>
    <w:rsid w:val="007B77FE"/>
    <w:rsid w:val="007D12DE"/>
    <w:rsid w:val="007D2F48"/>
    <w:rsid w:val="007D4D05"/>
    <w:rsid w:val="00817982"/>
    <w:rsid w:val="00836B46"/>
    <w:rsid w:val="00867342"/>
    <w:rsid w:val="00893F83"/>
    <w:rsid w:val="009224FD"/>
    <w:rsid w:val="00931806"/>
    <w:rsid w:val="0095780B"/>
    <w:rsid w:val="00981467"/>
    <w:rsid w:val="009B5818"/>
    <w:rsid w:val="009B7EF3"/>
    <w:rsid w:val="009D3101"/>
    <w:rsid w:val="009E43EF"/>
    <w:rsid w:val="00A019A0"/>
    <w:rsid w:val="00A0789A"/>
    <w:rsid w:val="00A124B5"/>
    <w:rsid w:val="00A414E8"/>
    <w:rsid w:val="00A625FB"/>
    <w:rsid w:val="00A85338"/>
    <w:rsid w:val="00A86D78"/>
    <w:rsid w:val="00A94D81"/>
    <w:rsid w:val="00AB6FA5"/>
    <w:rsid w:val="00AC66D5"/>
    <w:rsid w:val="00AD6EDC"/>
    <w:rsid w:val="00AE693D"/>
    <w:rsid w:val="00AF795B"/>
    <w:rsid w:val="00B17BA2"/>
    <w:rsid w:val="00B569D9"/>
    <w:rsid w:val="00B57D00"/>
    <w:rsid w:val="00B67C07"/>
    <w:rsid w:val="00B7604D"/>
    <w:rsid w:val="00B923CE"/>
    <w:rsid w:val="00BB3AA1"/>
    <w:rsid w:val="00BF4327"/>
    <w:rsid w:val="00C9040E"/>
    <w:rsid w:val="00C948F6"/>
    <w:rsid w:val="00C95285"/>
    <w:rsid w:val="00CD1A8D"/>
    <w:rsid w:val="00D60FD8"/>
    <w:rsid w:val="00D67669"/>
    <w:rsid w:val="00D76078"/>
    <w:rsid w:val="00D867BB"/>
    <w:rsid w:val="00D86BE9"/>
    <w:rsid w:val="00DB2A54"/>
    <w:rsid w:val="00DB346A"/>
    <w:rsid w:val="00DE24B6"/>
    <w:rsid w:val="00DE690A"/>
    <w:rsid w:val="00DF0AD8"/>
    <w:rsid w:val="00E82A7F"/>
    <w:rsid w:val="00EB6CCC"/>
    <w:rsid w:val="00EC0C89"/>
    <w:rsid w:val="00EE0EF3"/>
    <w:rsid w:val="00F358C4"/>
    <w:rsid w:val="00F45688"/>
    <w:rsid w:val="00F62FEB"/>
    <w:rsid w:val="00F65947"/>
    <w:rsid w:val="00FB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4" w:unhideWhenUsed="0" w:qFormat="1"/>
    <w:lsdException w:name="heading 1" w:semiHidden="0" w:uiPriority="4"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4"/>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4"/>
    <w:qFormat/>
    <w:rsid w:val="009224FD"/>
    <w:pPr>
      <w:spacing w:after="0" w:line="240" w:lineRule="auto"/>
    </w:pPr>
    <w:rPr>
      <w:rFonts w:cs="Times New Roman"/>
      <w:color w:val="000000" w:themeColor="text1"/>
      <w:szCs w:val="20"/>
    </w:rPr>
  </w:style>
  <w:style w:type="paragraph" w:styleId="Heading1">
    <w:name w:val="heading 1"/>
    <w:next w:val="BodyText"/>
    <w:link w:val="Heading1Char"/>
    <w:uiPriority w:val="4"/>
    <w:qFormat/>
    <w:rsid w:val="009224FD"/>
    <w:pPr>
      <w:keepNext/>
      <w:keepLines/>
      <w:pageBreakBefore/>
      <w:pBdr>
        <w:bottom w:val="single" w:sz="18" w:space="16" w:color="1F497D" w:themeColor="text2"/>
      </w:pBdr>
      <w:spacing w:after="360" w:line="480" w:lineRule="exact"/>
      <w:outlineLvl w:val="0"/>
    </w:pPr>
    <w:rPr>
      <w:rFonts w:asciiTheme="majorHAnsi" w:eastAsiaTheme="majorEastAsia" w:hAnsiTheme="majorHAnsi" w:cstheme="majorBidi"/>
      <w:b/>
      <w:bCs/>
      <w:color w:val="000000" w:themeColor="text1"/>
      <w:sz w:val="44"/>
      <w:szCs w:val="28"/>
      <w:lang w:val="en-AU"/>
    </w:rPr>
  </w:style>
  <w:style w:type="paragraph" w:styleId="Heading3">
    <w:name w:val="heading 3"/>
    <w:next w:val="BodyText"/>
    <w:link w:val="Heading3Char"/>
    <w:uiPriority w:val="4"/>
    <w:qFormat/>
    <w:rsid w:val="009224FD"/>
    <w:pPr>
      <w:keepNext/>
      <w:keepLines/>
      <w:spacing w:before="320" w:after="60" w:line="280" w:lineRule="exact"/>
      <w:outlineLvl w:val="2"/>
    </w:pPr>
    <w:rPr>
      <w:rFonts w:asciiTheme="majorHAnsi" w:eastAsiaTheme="majorEastAsia" w:hAnsiTheme="majorHAnsi" w:cstheme="majorBidi"/>
      <w:b/>
      <w:bCs/>
      <w:color w:val="1F497D" w:themeColor="text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24FD"/>
    <w:rPr>
      <w:rFonts w:asciiTheme="majorHAnsi" w:eastAsiaTheme="majorEastAsia" w:hAnsiTheme="majorHAnsi" w:cstheme="majorBidi"/>
      <w:b/>
      <w:bCs/>
      <w:color w:val="000000" w:themeColor="text1"/>
      <w:sz w:val="44"/>
      <w:szCs w:val="28"/>
      <w:lang w:val="en-AU"/>
    </w:rPr>
  </w:style>
  <w:style w:type="character" w:customStyle="1" w:styleId="Heading3Char">
    <w:name w:val="Heading 3 Char"/>
    <w:basedOn w:val="DefaultParagraphFont"/>
    <w:link w:val="Heading3"/>
    <w:uiPriority w:val="4"/>
    <w:rsid w:val="009224FD"/>
    <w:rPr>
      <w:rFonts w:asciiTheme="majorHAnsi" w:eastAsiaTheme="majorEastAsia" w:hAnsiTheme="majorHAnsi" w:cstheme="majorBidi"/>
      <w:b/>
      <w:bCs/>
      <w:color w:val="1F497D" w:themeColor="text2"/>
      <w:szCs w:val="20"/>
      <w:lang w:val="en-AU"/>
    </w:rPr>
  </w:style>
  <w:style w:type="table" w:styleId="TableGrid">
    <w:name w:val="Table Grid"/>
    <w:basedOn w:val="TableNormal"/>
    <w:uiPriority w:val="59"/>
    <w:rsid w:val="009224FD"/>
    <w:pPr>
      <w:spacing w:after="0" w:line="240" w:lineRule="auto"/>
    </w:pPr>
    <w:rPr>
      <w:rFonts w:ascii="Arial" w:hAnsi="Arial" w:cs="Times New Roman"/>
      <w:sz w:val="20"/>
      <w:szCs w:val="20"/>
      <w:lang w:val="en-AU"/>
    </w:rPr>
    <w:tblPr>
      <w:tblInd w:w="0" w:type="dxa"/>
      <w:tblCellMar>
        <w:top w:w="0" w:type="dxa"/>
        <w:left w:w="0" w:type="dxa"/>
        <w:bottom w:w="0" w:type="dxa"/>
        <w:right w:w="0" w:type="dxa"/>
      </w:tblCellMar>
    </w:tblPr>
  </w:style>
  <w:style w:type="paragraph" w:styleId="BodyText">
    <w:name w:val="Body Text"/>
    <w:link w:val="BodyTextChar"/>
    <w:qFormat/>
    <w:rsid w:val="009224FD"/>
    <w:pPr>
      <w:spacing w:after="120" w:line="280" w:lineRule="atLeast"/>
    </w:pPr>
    <w:rPr>
      <w:rFonts w:cs="Times New Roman"/>
      <w:color w:val="000000" w:themeColor="text1"/>
      <w:szCs w:val="20"/>
      <w:lang w:val="en-AU"/>
    </w:rPr>
  </w:style>
  <w:style w:type="character" w:customStyle="1" w:styleId="BodyTextChar">
    <w:name w:val="Body Text Char"/>
    <w:basedOn w:val="DefaultParagraphFont"/>
    <w:link w:val="BodyText"/>
    <w:rsid w:val="009224FD"/>
    <w:rPr>
      <w:rFonts w:cs="Times New Roman"/>
      <w:color w:val="000000" w:themeColor="text1"/>
      <w:szCs w:val="20"/>
      <w:lang w:val="en-AU"/>
    </w:rPr>
  </w:style>
  <w:style w:type="paragraph" w:styleId="Footer">
    <w:name w:val="footer"/>
    <w:link w:val="FooterChar"/>
    <w:uiPriority w:val="99"/>
    <w:rsid w:val="009224FD"/>
    <w:pPr>
      <w:tabs>
        <w:tab w:val="center" w:pos="4680"/>
        <w:tab w:val="right" w:pos="9360"/>
      </w:tabs>
      <w:spacing w:after="0" w:line="160" w:lineRule="exact"/>
    </w:pPr>
    <w:rPr>
      <w:rFonts w:cs="Times New Roman"/>
      <w:b/>
      <w:color w:val="1F497D" w:themeColor="text2"/>
      <w:sz w:val="16"/>
      <w:szCs w:val="20"/>
      <w:lang w:val="en-AU"/>
    </w:rPr>
  </w:style>
  <w:style w:type="character" w:customStyle="1" w:styleId="FooterChar">
    <w:name w:val="Footer Char"/>
    <w:basedOn w:val="DefaultParagraphFont"/>
    <w:link w:val="Footer"/>
    <w:uiPriority w:val="99"/>
    <w:rsid w:val="009224FD"/>
    <w:rPr>
      <w:rFonts w:cs="Times New Roman"/>
      <w:b/>
      <w:color w:val="1F497D" w:themeColor="text2"/>
      <w:sz w:val="16"/>
      <w:szCs w:val="20"/>
      <w:lang w:val="en-AU"/>
    </w:rPr>
  </w:style>
  <w:style w:type="paragraph" w:styleId="FootnoteText">
    <w:name w:val="footnote text"/>
    <w:link w:val="FootnoteTextChar"/>
    <w:uiPriority w:val="99"/>
    <w:unhideWhenUsed/>
    <w:rsid w:val="009224FD"/>
    <w:pPr>
      <w:spacing w:after="120" w:line="200" w:lineRule="exact"/>
    </w:pPr>
    <w:rPr>
      <w:rFonts w:cs="Times New Roman"/>
      <w:color w:val="000000" w:themeColor="text1"/>
      <w:sz w:val="16"/>
      <w:szCs w:val="20"/>
      <w:lang w:val="en-AU"/>
    </w:rPr>
  </w:style>
  <w:style w:type="character" w:customStyle="1" w:styleId="FootnoteTextChar">
    <w:name w:val="Footnote Text Char"/>
    <w:basedOn w:val="DefaultParagraphFont"/>
    <w:link w:val="FootnoteText"/>
    <w:uiPriority w:val="99"/>
    <w:rsid w:val="009224FD"/>
    <w:rPr>
      <w:rFonts w:cs="Times New Roman"/>
      <w:color w:val="000000" w:themeColor="text1"/>
      <w:sz w:val="16"/>
      <w:szCs w:val="20"/>
      <w:lang w:val="en-AU"/>
    </w:rPr>
  </w:style>
  <w:style w:type="paragraph" w:styleId="Header">
    <w:name w:val="header"/>
    <w:link w:val="HeaderChar"/>
    <w:uiPriority w:val="44"/>
    <w:semiHidden/>
    <w:rsid w:val="009224FD"/>
    <w:pPr>
      <w:tabs>
        <w:tab w:val="center" w:pos="4680"/>
        <w:tab w:val="right" w:pos="9360"/>
      </w:tabs>
      <w:spacing w:after="0" w:line="240" w:lineRule="auto"/>
    </w:pPr>
    <w:rPr>
      <w:rFonts w:cs="Times New Roman"/>
      <w:b/>
      <w:color w:val="1F497D" w:themeColor="text2"/>
      <w:sz w:val="20"/>
      <w:szCs w:val="20"/>
      <w:lang w:val="en-AU"/>
    </w:rPr>
  </w:style>
  <w:style w:type="character" w:customStyle="1" w:styleId="HeaderChar">
    <w:name w:val="Header Char"/>
    <w:basedOn w:val="DefaultParagraphFont"/>
    <w:link w:val="Header"/>
    <w:uiPriority w:val="44"/>
    <w:semiHidden/>
    <w:rsid w:val="009224FD"/>
    <w:rPr>
      <w:rFonts w:cs="Times New Roman"/>
      <w:b/>
      <w:color w:val="1F497D" w:themeColor="text2"/>
      <w:sz w:val="20"/>
      <w:szCs w:val="20"/>
      <w:lang w:val="en-AU"/>
    </w:rPr>
  </w:style>
  <w:style w:type="character" w:styleId="Hyperlink">
    <w:name w:val="Hyperlink"/>
    <w:basedOn w:val="DefaultParagraphFont"/>
    <w:uiPriority w:val="99"/>
    <w:rsid w:val="009224FD"/>
    <w:rPr>
      <w:color w:val="0000FF" w:themeColor="hyperlink"/>
      <w:u w:val="none"/>
    </w:rPr>
  </w:style>
  <w:style w:type="paragraph" w:customStyle="1" w:styleId="BoxText">
    <w:name w:val="Box Text"/>
    <w:basedOn w:val="BodyText"/>
    <w:uiPriority w:val="9"/>
    <w:qFormat/>
    <w:rsid w:val="009224FD"/>
    <w:pPr>
      <w:spacing w:before="120"/>
      <w:ind w:left="113" w:right="113"/>
    </w:pPr>
  </w:style>
  <w:style w:type="paragraph" w:customStyle="1" w:styleId="TableText">
    <w:name w:val="Table Text"/>
    <w:uiPriority w:val="19"/>
    <w:qFormat/>
    <w:rsid w:val="009224FD"/>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9224FD"/>
    <w:pPr>
      <w:keepNext/>
      <w:keepLines/>
      <w:jc w:val="center"/>
    </w:pPr>
    <w:rPr>
      <w:b/>
    </w:rPr>
  </w:style>
  <w:style w:type="paragraph" w:styleId="ListParagraph">
    <w:name w:val="List Paragraph"/>
    <w:basedOn w:val="BodyText"/>
    <w:uiPriority w:val="34"/>
    <w:qFormat/>
    <w:rsid w:val="009224FD"/>
    <w:pPr>
      <w:ind w:left="720"/>
      <w:contextualSpacing/>
    </w:pPr>
  </w:style>
  <w:style w:type="table" w:customStyle="1" w:styleId="ANMAC">
    <w:name w:val="ANMAC"/>
    <w:basedOn w:val="TableNormal"/>
    <w:uiPriority w:val="99"/>
    <w:rsid w:val="009224FD"/>
    <w:pPr>
      <w:spacing w:after="0" w:line="240" w:lineRule="auto"/>
    </w:pPr>
    <w:rPr>
      <w:rFonts w:ascii="Courier" w:hAnsi="Courier" w:cs="Times New Roman"/>
      <w:sz w:val="20"/>
      <w:szCs w:val="20"/>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tcPr>
      <w:shd w:val="clear" w:color="auto" w:fill="FFFFFF" w:themeFill="background1"/>
    </w:tcPr>
    <w:tblStylePr w:type="firstRow">
      <w:tblPr/>
      <w:tcPr>
        <w:shd w:val="clear" w:color="auto" w:fill="9BBB59" w:themeFill="accent3"/>
      </w:tcPr>
    </w:tblStylePr>
  </w:style>
  <w:style w:type="table" w:customStyle="1" w:styleId="ANMAC2">
    <w:name w:val="ANMAC 2"/>
    <w:basedOn w:val="TableNormal"/>
    <w:uiPriority w:val="99"/>
    <w:rsid w:val="009224FD"/>
    <w:pPr>
      <w:spacing w:after="0" w:line="240" w:lineRule="auto"/>
    </w:pPr>
    <w:rPr>
      <w:rFonts w:ascii="Courier" w:hAnsi="Courier" w:cs="Times New Roman"/>
      <w:sz w:val="20"/>
      <w:szCs w:val="20"/>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tcPr>
      <w:shd w:val="clear" w:color="auto" w:fill="FFFFFF" w:themeFill="background1"/>
    </w:tcPr>
    <w:tblStylePr w:type="firstCol">
      <w:tblPr/>
      <w:tcPr>
        <w:shd w:val="clear" w:color="auto" w:fill="9BBB59" w:themeFill="accent3"/>
      </w:tcPr>
    </w:tblStylePr>
  </w:style>
  <w:style w:type="character" w:styleId="FootnoteReference">
    <w:name w:val="footnote reference"/>
    <w:basedOn w:val="DefaultParagraphFont"/>
    <w:uiPriority w:val="99"/>
    <w:semiHidden/>
    <w:rsid w:val="009224FD"/>
    <w:rPr>
      <w:vertAlign w:val="superscript"/>
    </w:rPr>
  </w:style>
  <w:style w:type="paragraph" w:customStyle="1" w:styleId="Default">
    <w:name w:val="Default"/>
    <w:rsid w:val="009224FD"/>
    <w:pPr>
      <w:autoSpaceDE w:val="0"/>
      <w:autoSpaceDN w:val="0"/>
      <w:adjustRightInd w:val="0"/>
      <w:spacing w:after="0" w:line="240" w:lineRule="auto"/>
    </w:pPr>
    <w:rPr>
      <w:rFonts w:ascii="HelveticaNeue Condensed" w:hAnsi="HelveticaNeue Condensed" w:cs="HelveticaNeue Condensed"/>
      <w:color w:val="000000"/>
      <w:sz w:val="24"/>
      <w:szCs w:val="24"/>
      <w:lang w:val="en-GB"/>
    </w:rPr>
  </w:style>
  <w:style w:type="paragraph" w:styleId="BalloonText">
    <w:name w:val="Balloon Text"/>
    <w:basedOn w:val="Normal"/>
    <w:link w:val="BalloonTextChar"/>
    <w:uiPriority w:val="99"/>
    <w:semiHidden/>
    <w:unhideWhenUsed/>
    <w:rsid w:val="009224FD"/>
    <w:rPr>
      <w:rFonts w:ascii="Tahoma" w:hAnsi="Tahoma" w:cs="Tahoma"/>
      <w:sz w:val="16"/>
      <w:szCs w:val="16"/>
    </w:rPr>
  </w:style>
  <w:style w:type="character" w:customStyle="1" w:styleId="BalloonTextChar">
    <w:name w:val="Balloon Text Char"/>
    <w:basedOn w:val="DefaultParagraphFont"/>
    <w:link w:val="BalloonText"/>
    <w:uiPriority w:val="99"/>
    <w:semiHidden/>
    <w:rsid w:val="009224FD"/>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437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4" w:unhideWhenUsed="0" w:qFormat="1"/>
    <w:lsdException w:name="heading 1" w:semiHidden="0" w:uiPriority="4"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4"/>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4"/>
    <w:qFormat/>
    <w:rsid w:val="009224FD"/>
    <w:pPr>
      <w:spacing w:after="0" w:line="240" w:lineRule="auto"/>
    </w:pPr>
    <w:rPr>
      <w:rFonts w:cs="Times New Roman"/>
      <w:color w:val="000000" w:themeColor="text1"/>
      <w:szCs w:val="20"/>
    </w:rPr>
  </w:style>
  <w:style w:type="paragraph" w:styleId="Heading1">
    <w:name w:val="heading 1"/>
    <w:next w:val="BodyText"/>
    <w:link w:val="Heading1Char"/>
    <w:uiPriority w:val="4"/>
    <w:qFormat/>
    <w:rsid w:val="009224FD"/>
    <w:pPr>
      <w:keepNext/>
      <w:keepLines/>
      <w:pageBreakBefore/>
      <w:pBdr>
        <w:bottom w:val="single" w:sz="18" w:space="16" w:color="1F497D" w:themeColor="text2"/>
      </w:pBdr>
      <w:spacing w:after="360" w:line="480" w:lineRule="exact"/>
      <w:outlineLvl w:val="0"/>
    </w:pPr>
    <w:rPr>
      <w:rFonts w:asciiTheme="majorHAnsi" w:eastAsiaTheme="majorEastAsia" w:hAnsiTheme="majorHAnsi" w:cstheme="majorBidi"/>
      <w:b/>
      <w:bCs/>
      <w:color w:val="000000" w:themeColor="text1"/>
      <w:sz w:val="44"/>
      <w:szCs w:val="28"/>
      <w:lang w:val="en-AU"/>
    </w:rPr>
  </w:style>
  <w:style w:type="paragraph" w:styleId="Heading3">
    <w:name w:val="heading 3"/>
    <w:next w:val="BodyText"/>
    <w:link w:val="Heading3Char"/>
    <w:uiPriority w:val="4"/>
    <w:qFormat/>
    <w:rsid w:val="009224FD"/>
    <w:pPr>
      <w:keepNext/>
      <w:keepLines/>
      <w:spacing w:before="320" w:after="60" w:line="280" w:lineRule="exact"/>
      <w:outlineLvl w:val="2"/>
    </w:pPr>
    <w:rPr>
      <w:rFonts w:asciiTheme="majorHAnsi" w:eastAsiaTheme="majorEastAsia" w:hAnsiTheme="majorHAnsi" w:cstheme="majorBidi"/>
      <w:b/>
      <w:bCs/>
      <w:color w:val="1F497D" w:themeColor="text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24FD"/>
    <w:rPr>
      <w:rFonts w:asciiTheme="majorHAnsi" w:eastAsiaTheme="majorEastAsia" w:hAnsiTheme="majorHAnsi" w:cstheme="majorBidi"/>
      <w:b/>
      <w:bCs/>
      <w:color w:val="000000" w:themeColor="text1"/>
      <w:sz w:val="44"/>
      <w:szCs w:val="28"/>
      <w:lang w:val="en-AU"/>
    </w:rPr>
  </w:style>
  <w:style w:type="character" w:customStyle="1" w:styleId="Heading3Char">
    <w:name w:val="Heading 3 Char"/>
    <w:basedOn w:val="DefaultParagraphFont"/>
    <w:link w:val="Heading3"/>
    <w:uiPriority w:val="4"/>
    <w:rsid w:val="009224FD"/>
    <w:rPr>
      <w:rFonts w:asciiTheme="majorHAnsi" w:eastAsiaTheme="majorEastAsia" w:hAnsiTheme="majorHAnsi" w:cstheme="majorBidi"/>
      <w:b/>
      <w:bCs/>
      <w:color w:val="1F497D" w:themeColor="text2"/>
      <w:szCs w:val="20"/>
      <w:lang w:val="en-AU"/>
    </w:rPr>
  </w:style>
  <w:style w:type="table" w:styleId="TableGrid">
    <w:name w:val="Table Grid"/>
    <w:basedOn w:val="TableNormal"/>
    <w:uiPriority w:val="59"/>
    <w:rsid w:val="009224FD"/>
    <w:pPr>
      <w:spacing w:after="0" w:line="240" w:lineRule="auto"/>
    </w:pPr>
    <w:rPr>
      <w:rFonts w:ascii="Arial" w:hAnsi="Arial" w:cs="Times New Roman"/>
      <w:sz w:val="20"/>
      <w:szCs w:val="20"/>
      <w:lang w:val="en-AU"/>
    </w:rPr>
    <w:tblPr>
      <w:tblInd w:w="0" w:type="dxa"/>
      <w:tblCellMar>
        <w:top w:w="0" w:type="dxa"/>
        <w:left w:w="0" w:type="dxa"/>
        <w:bottom w:w="0" w:type="dxa"/>
        <w:right w:w="0" w:type="dxa"/>
      </w:tblCellMar>
    </w:tblPr>
  </w:style>
  <w:style w:type="paragraph" w:styleId="BodyText">
    <w:name w:val="Body Text"/>
    <w:link w:val="BodyTextChar"/>
    <w:qFormat/>
    <w:rsid w:val="009224FD"/>
    <w:pPr>
      <w:spacing w:after="120" w:line="280" w:lineRule="atLeast"/>
    </w:pPr>
    <w:rPr>
      <w:rFonts w:cs="Times New Roman"/>
      <w:color w:val="000000" w:themeColor="text1"/>
      <w:szCs w:val="20"/>
      <w:lang w:val="en-AU"/>
    </w:rPr>
  </w:style>
  <w:style w:type="character" w:customStyle="1" w:styleId="BodyTextChar">
    <w:name w:val="Body Text Char"/>
    <w:basedOn w:val="DefaultParagraphFont"/>
    <w:link w:val="BodyText"/>
    <w:rsid w:val="009224FD"/>
    <w:rPr>
      <w:rFonts w:cs="Times New Roman"/>
      <w:color w:val="000000" w:themeColor="text1"/>
      <w:szCs w:val="20"/>
      <w:lang w:val="en-AU"/>
    </w:rPr>
  </w:style>
  <w:style w:type="paragraph" w:styleId="Footer">
    <w:name w:val="footer"/>
    <w:link w:val="FooterChar"/>
    <w:uiPriority w:val="99"/>
    <w:rsid w:val="009224FD"/>
    <w:pPr>
      <w:tabs>
        <w:tab w:val="center" w:pos="4680"/>
        <w:tab w:val="right" w:pos="9360"/>
      </w:tabs>
      <w:spacing w:after="0" w:line="160" w:lineRule="exact"/>
    </w:pPr>
    <w:rPr>
      <w:rFonts w:cs="Times New Roman"/>
      <w:b/>
      <w:color w:val="1F497D" w:themeColor="text2"/>
      <w:sz w:val="16"/>
      <w:szCs w:val="20"/>
      <w:lang w:val="en-AU"/>
    </w:rPr>
  </w:style>
  <w:style w:type="character" w:customStyle="1" w:styleId="FooterChar">
    <w:name w:val="Footer Char"/>
    <w:basedOn w:val="DefaultParagraphFont"/>
    <w:link w:val="Footer"/>
    <w:uiPriority w:val="99"/>
    <w:rsid w:val="009224FD"/>
    <w:rPr>
      <w:rFonts w:cs="Times New Roman"/>
      <w:b/>
      <w:color w:val="1F497D" w:themeColor="text2"/>
      <w:sz w:val="16"/>
      <w:szCs w:val="20"/>
      <w:lang w:val="en-AU"/>
    </w:rPr>
  </w:style>
  <w:style w:type="paragraph" w:styleId="FootnoteText">
    <w:name w:val="footnote text"/>
    <w:link w:val="FootnoteTextChar"/>
    <w:uiPriority w:val="99"/>
    <w:unhideWhenUsed/>
    <w:rsid w:val="009224FD"/>
    <w:pPr>
      <w:spacing w:after="120" w:line="200" w:lineRule="exact"/>
    </w:pPr>
    <w:rPr>
      <w:rFonts w:cs="Times New Roman"/>
      <w:color w:val="000000" w:themeColor="text1"/>
      <w:sz w:val="16"/>
      <w:szCs w:val="20"/>
      <w:lang w:val="en-AU"/>
    </w:rPr>
  </w:style>
  <w:style w:type="character" w:customStyle="1" w:styleId="FootnoteTextChar">
    <w:name w:val="Footnote Text Char"/>
    <w:basedOn w:val="DefaultParagraphFont"/>
    <w:link w:val="FootnoteText"/>
    <w:uiPriority w:val="99"/>
    <w:rsid w:val="009224FD"/>
    <w:rPr>
      <w:rFonts w:cs="Times New Roman"/>
      <w:color w:val="000000" w:themeColor="text1"/>
      <w:sz w:val="16"/>
      <w:szCs w:val="20"/>
      <w:lang w:val="en-AU"/>
    </w:rPr>
  </w:style>
  <w:style w:type="paragraph" w:styleId="Header">
    <w:name w:val="header"/>
    <w:link w:val="HeaderChar"/>
    <w:uiPriority w:val="44"/>
    <w:semiHidden/>
    <w:rsid w:val="009224FD"/>
    <w:pPr>
      <w:tabs>
        <w:tab w:val="center" w:pos="4680"/>
        <w:tab w:val="right" w:pos="9360"/>
      </w:tabs>
      <w:spacing w:after="0" w:line="240" w:lineRule="auto"/>
    </w:pPr>
    <w:rPr>
      <w:rFonts w:cs="Times New Roman"/>
      <w:b/>
      <w:color w:val="1F497D" w:themeColor="text2"/>
      <w:sz w:val="20"/>
      <w:szCs w:val="20"/>
      <w:lang w:val="en-AU"/>
    </w:rPr>
  </w:style>
  <w:style w:type="character" w:customStyle="1" w:styleId="HeaderChar">
    <w:name w:val="Header Char"/>
    <w:basedOn w:val="DefaultParagraphFont"/>
    <w:link w:val="Header"/>
    <w:uiPriority w:val="44"/>
    <w:semiHidden/>
    <w:rsid w:val="009224FD"/>
    <w:rPr>
      <w:rFonts w:cs="Times New Roman"/>
      <w:b/>
      <w:color w:val="1F497D" w:themeColor="text2"/>
      <w:sz w:val="20"/>
      <w:szCs w:val="20"/>
      <w:lang w:val="en-AU"/>
    </w:rPr>
  </w:style>
  <w:style w:type="character" w:styleId="Hyperlink">
    <w:name w:val="Hyperlink"/>
    <w:basedOn w:val="DefaultParagraphFont"/>
    <w:uiPriority w:val="99"/>
    <w:rsid w:val="009224FD"/>
    <w:rPr>
      <w:color w:val="0000FF" w:themeColor="hyperlink"/>
      <w:u w:val="none"/>
    </w:rPr>
  </w:style>
  <w:style w:type="paragraph" w:customStyle="1" w:styleId="BoxText">
    <w:name w:val="Box Text"/>
    <w:basedOn w:val="BodyText"/>
    <w:uiPriority w:val="9"/>
    <w:qFormat/>
    <w:rsid w:val="009224FD"/>
    <w:pPr>
      <w:spacing w:before="120"/>
      <w:ind w:left="113" w:right="113"/>
    </w:pPr>
  </w:style>
  <w:style w:type="paragraph" w:customStyle="1" w:styleId="TableText">
    <w:name w:val="Table Text"/>
    <w:uiPriority w:val="19"/>
    <w:qFormat/>
    <w:rsid w:val="009224FD"/>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9224FD"/>
    <w:pPr>
      <w:keepNext/>
      <w:keepLines/>
      <w:jc w:val="center"/>
    </w:pPr>
    <w:rPr>
      <w:b/>
    </w:rPr>
  </w:style>
  <w:style w:type="paragraph" w:styleId="ListParagraph">
    <w:name w:val="List Paragraph"/>
    <w:basedOn w:val="BodyText"/>
    <w:uiPriority w:val="34"/>
    <w:qFormat/>
    <w:rsid w:val="009224FD"/>
    <w:pPr>
      <w:ind w:left="720"/>
      <w:contextualSpacing/>
    </w:pPr>
  </w:style>
  <w:style w:type="table" w:customStyle="1" w:styleId="ANMAC">
    <w:name w:val="ANMAC"/>
    <w:basedOn w:val="TableNormal"/>
    <w:uiPriority w:val="99"/>
    <w:rsid w:val="009224FD"/>
    <w:pPr>
      <w:spacing w:after="0" w:line="240" w:lineRule="auto"/>
    </w:pPr>
    <w:rPr>
      <w:rFonts w:ascii="Courier" w:hAnsi="Courier" w:cs="Times New Roman"/>
      <w:sz w:val="20"/>
      <w:szCs w:val="20"/>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tcPr>
      <w:shd w:val="clear" w:color="auto" w:fill="FFFFFF" w:themeFill="background1"/>
    </w:tcPr>
    <w:tblStylePr w:type="firstRow">
      <w:tblPr/>
      <w:tcPr>
        <w:shd w:val="clear" w:color="auto" w:fill="9BBB59" w:themeFill="accent3"/>
      </w:tcPr>
    </w:tblStylePr>
  </w:style>
  <w:style w:type="table" w:customStyle="1" w:styleId="ANMAC2">
    <w:name w:val="ANMAC 2"/>
    <w:basedOn w:val="TableNormal"/>
    <w:uiPriority w:val="99"/>
    <w:rsid w:val="009224FD"/>
    <w:pPr>
      <w:spacing w:after="0" w:line="240" w:lineRule="auto"/>
    </w:pPr>
    <w:rPr>
      <w:rFonts w:ascii="Courier" w:hAnsi="Courier" w:cs="Times New Roman"/>
      <w:sz w:val="20"/>
      <w:szCs w:val="20"/>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tcPr>
      <w:shd w:val="clear" w:color="auto" w:fill="FFFFFF" w:themeFill="background1"/>
    </w:tcPr>
    <w:tblStylePr w:type="firstCol">
      <w:tblPr/>
      <w:tcPr>
        <w:shd w:val="clear" w:color="auto" w:fill="9BBB59" w:themeFill="accent3"/>
      </w:tcPr>
    </w:tblStylePr>
  </w:style>
  <w:style w:type="character" w:styleId="FootnoteReference">
    <w:name w:val="footnote reference"/>
    <w:basedOn w:val="DefaultParagraphFont"/>
    <w:uiPriority w:val="99"/>
    <w:semiHidden/>
    <w:rsid w:val="009224FD"/>
    <w:rPr>
      <w:vertAlign w:val="superscript"/>
    </w:rPr>
  </w:style>
  <w:style w:type="paragraph" w:customStyle="1" w:styleId="Default">
    <w:name w:val="Default"/>
    <w:rsid w:val="009224FD"/>
    <w:pPr>
      <w:autoSpaceDE w:val="0"/>
      <w:autoSpaceDN w:val="0"/>
      <w:adjustRightInd w:val="0"/>
      <w:spacing w:after="0" w:line="240" w:lineRule="auto"/>
    </w:pPr>
    <w:rPr>
      <w:rFonts w:ascii="HelveticaNeue Condensed" w:hAnsi="HelveticaNeue Condensed" w:cs="HelveticaNeue Condensed"/>
      <w:color w:val="000000"/>
      <w:sz w:val="24"/>
      <w:szCs w:val="24"/>
      <w:lang w:val="en-GB"/>
    </w:rPr>
  </w:style>
  <w:style w:type="paragraph" w:styleId="BalloonText">
    <w:name w:val="Balloon Text"/>
    <w:basedOn w:val="Normal"/>
    <w:link w:val="BalloonTextChar"/>
    <w:uiPriority w:val="99"/>
    <w:semiHidden/>
    <w:unhideWhenUsed/>
    <w:rsid w:val="009224FD"/>
    <w:rPr>
      <w:rFonts w:ascii="Tahoma" w:hAnsi="Tahoma" w:cs="Tahoma"/>
      <w:sz w:val="16"/>
      <w:szCs w:val="16"/>
    </w:rPr>
  </w:style>
  <w:style w:type="character" w:customStyle="1" w:styleId="BalloonTextChar">
    <w:name w:val="Balloon Text Char"/>
    <w:basedOn w:val="DefaultParagraphFont"/>
    <w:link w:val="BalloonText"/>
    <w:uiPriority w:val="99"/>
    <w:semiHidden/>
    <w:rsid w:val="009224FD"/>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437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bi.ie/Education/Standards-and-Requirements/Post-Registration-Nursing-Midwife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bi.ie/ECommerceSite/media/NMBI/Publications/Post-registration-nursing-midwifery-programmes.pdf?ex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mbi.ie/ECommerceSite/media/NMBI/Publications/Post-registration-nursing-midwifery-programmes.pdf?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33B5-B8EA-4723-8969-C205324B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Campbell</dc:creator>
  <cp:lastModifiedBy>bconolly</cp:lastModifiedBy>
  <cp:revision>2</cp:revision>
  <cp:lastPrinted>2016-04-18T12:39:00Z</cp:lastPrinted>
  <dcterms:created xsi:type="dcterms:W3CDTF">2016-09-01T14:36:00Z</dcterms:created>
  <dcterms:modified xsi:type="dcterms:W3CDTF">2016-09-01T14:36:00Z</dcterms:modified>
</cp:coreProperties>
</file>